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ascii="黑体" w:hAnsi="黑体" w:eastAsia="黑体"/>
          <w:snapToGrid w:val="0"/>
          <w:color w:val="auto"/>
          <w:kern w:val="0"/>
          <w:sz w:val="32"/>
          <w:szCs w:val="32"/>
        </w:rPr>
      </w:pPr>
      <w:r>
        <w:rPr>
          <w:rFonts w:ascii="黑体" w:hAnsi="黑体" w:eastAsia="黑体"/>
          <w:snapToGrid w:val="0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snapToGrid w:val="0"/>
          <w:color w:val="auto"/>
          <w:kern w:val="0"/>
          <w:sz w:val="32"/>
          <w:szCs w:val="32"/>
        </w:rPr>
        <w:t>3</w:t>
      </w:r>
    </w:p>
    <w:p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_GBK" w:eastAsia="方正小标宋_GBK"/>
          <w:snapToGrid w:val="0"/>
          <w:color w:val="auto"/>
          <w:kern w:val="0"/>
          <w:sz w:val="44"/>
          <w:szCs w:val="44"/>
        </w:rPr>
        <w:t>广州市义务教</w:t>
      </w:r>
      <w:bookmarkStart w:id="0" w:name="_GoBack"/>
      <w:bookmarkEnd w:id="0"/>
      <w:r>
        <w:rPr>
          <w:rFonts w:hint="eastAsia" w:ascii="方正小标宋_GBK" w:eastAsia="方正小标宋_GBK"/>
          <w:snapToGrid w:val="0"/>
          <w:color w:val="auto"/>
          <w:kern w:val="0"/>
          <w:sz w:val="44"/>
          <w:szCs w:val="44"/>
        </w:rPr>
        <w:t>育学校招生负面清单</w:t>
      </w:r>
    </w:p>
    <w:p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_GBK" w:eastAsia="方正小标宋_GBK"/>
          <w:snapToGrid w:val="0"/>
          <w:color w:val="auto"/>
          <w:kern w:val="0"/>
          <w:sz w:val="44"/>
          <w:szCs w:val="44"/>
        </w:rPr>
        <w:t>及处理措施</w:t>
      </w:r>
    </w:p>
    <w:tbl>
      <w:tblPr>
        <w:tblStyle w:val="3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040"/>
        <w:gridCol w:w="4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ascii="黑体" w:hAnsi="黑体" w:eastAsia="黑体"/>
                <w:snapToGrid w:val="0"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ascii="黑体" w:hAnsi="黑体" w:eastAsia="黑体"/>
                <w:snapToGrid w:val="0"/>
                <w:color w:val="auto"/>
                <w:kern w:val="0"/>
                <w:sz w:val="32"/>
                <w:szCs w:val="32"/>
              </w:rPr>
              <w:t>违规行为</w:t>
            </w:r>
          </w:p>
        </w:tc>
        <w:tc>
          <w:tcPr>
            <w:tcW w:w="414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ascii="黑体" w:hAnsi="黑体" w:eastAsia="黑体"/>
                <w:snapToGrid w:val="0"/>
                <w:color w:val="auto"/>
                <w:kern w:val="0"/>
                <w:sz w:val="32"/>
                <w:szCs w:val="32"/>
              </w:rPr>
              <w:t>处理措施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采取考试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、面试、人机对话等</w:t>
            </w: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方式选拔学生</w:t>
            </w:r>
          </w:p>
        </w:tc>
        <w:tc>
          <w:tcPr>
            <w:tcW w:w="414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1.对学校及其校长、相关责任人进行通报批评并责令限期整改；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2.学校及其校长、相关责任人三年内不得列入各级各系统评优评先范畴；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3.公办学校违规的（含其参与举办的民办学校发生违规行为的），按干部管理权限对校长、相关责任人追究处理；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4.民办学校违规的，与年检结果挂钩，次年减少30%—50%的招生计划或者暂停招生，并建议解聘校长。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不按核准的办学层次、办学规模和招生计划进行招生</w:t>
            </w:r>
          </w:p>
        </w:tc>
        <w:tc>
          <w:tcPr>
            <w:tcW w:w="414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借助社会团体、培训机构等组织通过考试、竞赛、培训、测试排名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、夏（冬）令营、研学活动</w:t>
            </w: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等形式选拔学生</w:t>
            </w:r>
          </w:p>
        </w:tc>
        <w:tc>
          <w:tcPr>
            <w:tcW w:w="414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1.对学校及其校长、相关责任人进行通报批评并责令限期整改；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2.学校及其校长、相关责任人三年内不得列入各级各系统评优评先范畴；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3.公办学校（含其参与举办的民办学校发生违规行为的）违规的，按干部管理权限对校长、相关责任人追究处理；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4.民办学校违规的，与年检结果挂钩，次年减少30%—50%的招生计划。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参与社会团体、培训机构等组织举办的与升学相关的讲座、宣传等活动，或为其提供场地</w:t>
            </w:r>
          </w:p>
        </w:tc>
        <w:tc>
          <w:tcPr>
            <w:tcW w:w="414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民办中小学提前组织面向幼儿园大班幼儿、小学毕业生的招生宣讲，或变相遴选学生</w:t>
            </w:r>
          </w:p>
        </w:tc>
        <w:tc>
          <w:tcPr>
            <w:tcW w:w="414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不按照教育行政部门规定的时间进行招生</w:t>
            </w:r>
          </w:p>
        </w:tc>
        <w:tc>
          <w:tcPr>
            <w:tcW w:w="414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7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发布虚假的招生简章、广告等信息</w:t>
            </w:r>
          </w:p>
        </w:tc>
        <w:tc>
          <w:tcPr>
            <w:tcW w:w="414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1.对学校及其校长、相关责任人进行通报批评并责令限期整改；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2.学校及其校长、相关责任人三年内不得列入各级各系统评优评先范畴；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3.民办学校违规的，与年检结果挂钩，次年减少10%—30%的招生计划。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幼儿园向小学、小学向初中推荐生源或提供学生信息</w:t>
            </w:r>
          </w:p>
        </w:tc>
        <w:tc>
          <w:tcPr>
            <w:tcW w:w="414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9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以重点班、快慢班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、“国际部”“国际课程班”</w:t>
            </w: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等各种名义进行招生</w:t>
            </w:r>
          </w:p>
        </w:tc>
        <w:tc>
          <w:tcPr>
            <w:tcW w:w="414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10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以各类竞赛、考试证书等作为招生入学的依据</w:t>
            </w:r>
          </w:p>
        </w:tc>
        <w:tc>
          <w:tcPr>
            <w:tcW w:w="414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ind w:firstLine="562" w:firstLineChars="200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为社会团体、培训机构等组织举办任何学科竞赛、综合能力竞赛和考级等活动提供场地</w:t>
            </w:r>
          </w:p>
        </w:tc>
        <w:tc>
          <w:tcPr>
            <w:tcW w:w="414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未经批准组织学生参加包括“奥赛”在内的各种学科竞赛、综合能力测试、读书读报评奖和考级等竞赛活动</w:t>
            </w:r>
          </w:p>
        </w:tc>
        <w:tc>
          <w:tcPr>
            <w:tcW w:w="414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13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通过设置奖金等方式违规争抢生源</w:t>
            </w:r>
          </w:p>
        </w:tc>
        <w:tc>
          <w:tcPr>
            <w:tcW w:w="414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公办学校拒绝接收本服务区应接收的学生，或拒绝教育行政部门统筹安排的学生入学</w:t>
            </w:r>
          </w:p>
        </w:tc>
        <w:tc>
          <w:tcPr>
            <w:tcW w:w="414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对学校及其校长、相关责任人进行通报批评并责令限期整改。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利用等级学校进行招生宣传</w:t>
            </w:r>
          </w:p>
        </w:tc>
        <w:tc>
          <w:tcPr>
            <w:tcW w:w="414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其他干扰招生工作秩序、影响教育教学秩序的行为</w:t>
            </w:r>
          </w:p>
        </w:tc>
        <w:tc>
          <w:tcPr>
            <w:tcW w:w="414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视情节严重程度参照上述处理措施进行处理。</w:t>
            </w:r>
          </w:p>
        </w:tc>
      </w:tr>
    </w:tbl>
    <w:p>
      <w:pPr>
        <w:widowControl/>
        <w:tabs>
          <w:tab w:val="left" w:pos="1440"/>
        </w:tabs>
        <w:snapToGrid w:val="0"/>
        <w:ind w:right="80" w:firstLine="0" w:firstLineChars="0"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</w:pPr>
    </w:p>
    <w:p>
      <w:pP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E2877"/>
    <w:rsid w:val="36E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2022-04-29T07:32:00Z</dcterms:created>
  <dc:creator>ZJY1026</dc:creator>
  <cp:lastModifiedBy>ZJY1026</cp:lastModifiedBy>
  <dcterms:modified xsi:type="dcterms:W3CDTF">2022-04-29T07:33:00Z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