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黑体" w:eastAsia="黑体"/>
          <w:snapToGrid w:val="0"/>
          <w:color w:val="auto"/>
          <w:kern w:val="0"/>
          <w:sz w:val="32"/>
          <w:szCs w:val="32"/>
        </w:rPr>
      </w:pPr>
      <w:r>
        <w:rPr>
          <w:rFonts w:ascii="黑体" w:hAnsi="黑体" w:eastAsia="黑体"/>
          <w:snapToGrid w:val="0"/>
          <w:color w:val="auto"/>
          <w:kern w:val="0"/>
          <w:sz w:val="32"/>
          <w:szCs w:val="32"/>
        </w:rPr>
        <w:t>附件2</w:t>
      </w:r>
    </w:p>
    <w:p>
      <w:pPr>
        <w:adjustRightInd w:val="0"/>
        <w:snapToGrid w:val="0"/>
        <w:spacing w:line="560" w:lineRule="exact"/>
        <w:jc w:val="left"/>
        <w:rPr>
          <w:rFonts w:eastAsia="黑体"/>
          <w:snapToGrid w:val="0"/>
          <w:color w:val="auto"/>
          <w:kern w:val="0"/>
          <w:sz w:val="32"/>
          <w:szCs w:val="32"/>
        </w:rPr>
      </w:pPr>
    </w:p>
    <w:p>
      <w:pPr>
        <w:adjustRightInd w:val="0"/>
        <w:snapToGrid w:val="0"/>
        <w:spacing w:line="560" w:lineRule="exact"/>
        <w:jc w:val="center"/>
        <w:rPr>
          <w:rFonts w:ascii="方正小标宋_GBK" w:eastAsia="方正小标宋_GBK"/>
          <w:snapToGrid w:val="0"/>
          <w:color w:val="auto"/>
          <w:kern w:val="0"/>
          <w:sz w:val="44"/>
          <w:szCs w:val="44"/>
        </w:rPr>
      </w:pPr>
      <w:bookmarkStart w:id="0" w:name="_GoBack"/>
      <w:r>
        <w:rPr>
          <w:rFonts w:hint="eastAsia" w:ascii="方正小标宋_GBK" w:eastAsia="方正小标宋_GBK"/>
          <w:snapToGrid w:val="0"/>
          <w:color w:val="auto"/>
          <w:kern w:val="0"/>
          <w:sz w:val="44"/>
          <w:szCs w:val="44"/>
        </w:rPr>
        <w:t>广州市义务教育阶段政策性照顾学生清单</w:t>
      </w:r>
      <w:bookmarkEnd w:id="0"/>
    </w:p>
    <w:p>
      <w:pPr>
        <w:adjustRightInd w:val="0"/>
        <w:snapToGrid w:val="0"/>
        <w:spacing w:line="560" w:lineRule="exact"/>
        <w:rPr>
          <w:rFonts w:ascii="方正小标宋_GBK" w:eastAsia="方正小标宋_GBK"/>
          <w:snapToGrid w:val="0"/>
          <w:color w:val="auto"/>
          <w:kern w:val="0"/>
          <w:sz w:val="44"/>
          <w:szCs w:val="44"/>
        </w:rPr>
      </w:pPr>
    </w:p>
    <w:tbl>
      <w:tblPr>
        <w:tblStyle w:val="3"/>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791"/>
        <w:gridCol w:w="5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blHeader/>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序号</w:t>
            </w:r>
          </w:p>
        </w:tc>
        <w:tc>
          <w:tcPr>
            <w:tcW w:w="1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类别</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黑体" w:hAnsi="黑体" w:eastAsia="黑体"/>
                <w:snapToGrid w:val="0"/>
                <w:color w:val="auto"/>
                <w:kern w:val="0"/>
                <w:sz w:val="30"/>
                <w:szCs w:val="30"/>
              </w:rPr>
            </w:pPr>
            <w:r>
              <w:rPr>
                <w:rFonts w:ascii="黑体" w:hAnsi="黑体" w:eastAsia="黑体"/>
                <w:snapToGrid w:val="0"/>
                <w:color w:val="auto"/>
                <w:kern w:val="0"/>
                <w:sz w:val="30"/>
                <w:szCs w:val="30"/>
              </w:rPr>
              <w:t>对    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优抚群体类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烈士、因公牺牲军人、病故军人及现役军人的适龄子女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3"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2</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在穗消防部门工作的消防救援人员的适龄子女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3</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合法领养或家庭寄养的孤儿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4</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父母均长期患重病或失去监护子女能力的残疾人委托本市监护人照顾的适龄子女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5</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特殊行业类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父母均为从事地质勘探等长期野外工作，委托本市监护人照顾的适龄子女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6</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殡葬工人的适龄子女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7</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从事承担政府环卫作业工作服务连续两年及以上的环卫临时工适龄子女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8</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进藏干部职工子女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9</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人才类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按规定引进的博士、博士后、外国专家的适龄子女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10</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来穗工作的留学人员的适龄子女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11</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高层次人才子女（含海外）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12</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“优粤卡”持有人未成年子女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13</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广州市人才绿卡持有人随迁子女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14</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优秀异地务工人员子女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15</w:t>
            </w:r>
          </w:p>
        </w:tc>
        <w:tc>
          <w:tcPr>
            <w:tcW w:w="179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snapToGrid w:val="0"/>
                <w:color w:val="auto"/>
                <w:kern w:val="0"/>
                <w:sz w:val="28"/>
                <w:szCs w:val="28"/>
              </w:rPr>
            </w:pPr>
            <w:r>
              <w:rPr>
                <w:rFonts w:ascii="宋体" w:hAnsi="宋体"/>
                <w:snapToGrid w:val="0"/>
                <w:color w:val="auto"/>
                <w:kern w:val="0"/>
                <w:sz w:val="28"/>
                <w:szCs w:val="28"/>
              </w:rPr>
              <w:t>境外群体类</w:t>
            </w: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海外华侨华人子女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16</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持《外国人永久居留身份证》的外籍人员随迁子女（含未成年的持证人本人）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17</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台胞子女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18</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有突出贡献的港、澳人士的适龄子女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snapToGrid w:val="0"/>
                <w:color w:val="auto"/>
                <w:kern w:val="0"/>
                <w:sz w:val="28"/>
                <w:szCs w:val="28"/>
              </w:rPr>
            </w:pPr>
            <w:r>
              <w:rPr>
                <w:rFonts w:hint="eastAsia" w:ascii="宋体" w:hAnsi="宋体"/>
                <w:snapToGrid w:val="0"/>
                <w:color w:val="auto"/>
                <w:kern w:val="0"/>
                <w:sz w:val="28"/>
                <w:szCs w:val="28"/>
              </w:rPr>
              <w:t>19</w:t>
            </w:r>
          </w:p>
        </w:tc>
        <w:tc>
          <w:tcPr>
            <w:tcW w:w="179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left"/>
              <w:rPr>
                <w:rFonts w:ascii="宋体" w:hAnsi="宋体"/>
                <w:snapToGrid w:val="0"/>
                <w:color w:val="auto"/>
                <w:kern w:val="0"/>
                <w:sz w:val="28"/>
                <w:szCs w:val="28"/>
              </w:rPr>
            </w:pPr>
          </w:p>
        </w:tc>
        <w:tc>
          <w:tcPr>
            <w:tcW w:w="5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snapToGrid w:val="0"/>
                <w:color w:val="auto"/>
                <w:kern w:val="0"/>
                <w:sz w:val="28"/>
                <w:szCs w:val="28"/>
              </w:rPr>
            </w:pPr>
            <w:r>
              <w:rPr>
                <w:rFonts w:ascii="宋体" w:hAnsi="宋体"/>
                <w:snapToGrid w:val="0"/>
                <w:color w:val="auto"/>
                <w:kern w:val="0"/>
                <w:sz w:val="28"/>
                <w:szCs w:val="28"/>
              </w:rPr>
              <w:t>驻穗领事馆等外交人员的适龄子女</w:t>
            </w:r>
          </w:p>
        </w:tc>
      </w:tr>
    </w:tbl>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备注：</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1.政策性照顾学生是指符合上述有关条件的非广州市户籍适龄儿童少年；经居住地所在区教育行政部门核实并公示的政策性照顾学生，由该区教育行政部门按免试就近入学原则安排到公办学校（含政府在民办学校购买的学位）就读。</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2.其他特殊情况由区以上教育行政部门根据有关政策确定。</w:t>
      </w:r>
    </w:p>
    <w:p>
      <w:pPr>
        <w:adjustRightInd w:val="0"/>
        <w:snapToGrid w:val="0"/>
        <w:spacing w:line="560" w:lineRule="exact"/>
        <w:rPr>
          <w:rFonts w:eastAsia="楷体_GB2312"/>
          <w:snapToGrid w:val="0"/>
          <w:color w:val="auto"/>
          <w:kern w:val="0"/>
          <w:sz w:val="28"/>
          <w:szCs w:val="28"/>
        </w:rPr>
      </w:pPr>
      <w:r>
        <w:rPr>
          <w:rFonts w:eastAsia="楷体_GB2312"/>
          <w:snapToGrid w:val="0"/>
          <w:color w:val="auto"/>
          <w:kern w:val="0"/>
          <w:sz w:val="28"/>
          <w:szCs w:val="28"/>
        </w:rPr>
        <w:t>3.因上级政策调整等导致政策性照顾学生对象发生变化时，由市教育行政部门另行补充发文。</w:t>
      </w: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widowControl/>
        <w:adjustRightInd w:val="0"/>
        <w:snapToGrid w:val="0"/>
        <w:spacing w:line="560" w:lineRule="exact"/>
        <w:jc w:val="left"/>
        <w:rPr>
          <w:rFonts w:hint="eastAsia" w:eastAsia="黑体"/>
          <w:snapToGrid w:val="0"/>
          <w:color w:val="auto"/>
          <w:kern w:val="0"/>
          <w:sz w:val="32"/>
          <w:szCs w:val="32"/>
        </w:rPr>
      </w:pPr>
    </w:p>
    <w:p>
      <w:pPr>
        <w:rPr>
          <w:rFonts w:hint="eastAsia" w:eastAsia="黑体"/>
          <w:snapToGrid w:val="0"/>
          <w:color w:val="auto"/>
          <w:kern w:val="0"/>
          <w:sz w:val="32"/>
          <w:szCs w:val="32"/>
        </w:rPr>
      </w:pPr>
      <w:r>
        <w:rPr>
          <w:rFonts w:hint="eastAsia" w:eastAsia="黑体"/>
          <w:snapToGrid w:val="0"/>
          <w:color w:val="auto"/>
          <w:kern w:val="0"/>
          <w:sz w:val="32"/>
          <w:szCs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B54C3"/>
    <w:rsid w:val="1AEB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2022-04-29T07:31:00Z</dcterms:created>
  <dc:creator>ZJY1026</dc:creator>
  <cp:lastModifiedBy>ZJY1026</cp:lastModifiedBy>
  <dcterms:modified xsi:type="dcterms:W3CDTF">2022-04-29T07:32:05Z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