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line="560" w:lineRule="exact"/>
        <w:ind w:left="0" w:right="0" w:firstLine="0"/>
        <w:jc w:val="center"/>
        <w:rPr>
          <w:rFonts w:hint="eastAsia" w:ascii="方正小标宋简体" w:hAnsi="方正小标宋简体" w:eastAsia="方正小标宋简体" w:cs="方正小标宋简体"/>
          <w:kern w:val="2"/>
          <w:sz w:val="44"/>
          <w:szCs w:val="44"/>
          <w:lang w:val="en-US" w:eastAsia="zh-CN"/>
        </w:rPr>
      </w:pPr>
    </w:p>
    <w:p>
      <w:pPr>
        <w:spacing w:before="0" w:line="560" w:lineRule="exact"/>
        <w:ind w:left="0" w:right="0" w:firstLine="0"/>
        <w:jc w:val="center"/>
        <w:rPr>
          <w:rFonts w:hint="eastAsia" w:ascii="方正小标宋简体" w:hAnsi="方正小标宋简体" w:eastAsia="方正小标宋简体" w:cs="方正小标宋简体"/>
          <w:kern w:val="2"/>
          <w:sz w:val="44"/>
          <w:szCs w:val="44"/>
          <w:lang w:val="en-US" w:eastAsia="zh-CN"/>
        </w:rPr>
      </w:pPr>
    </w:p>
    <w:p>
      <w:pPr>
        <w:spacing w:before="0" w:line="560" w:lineRule="exact"/>
        <w:ind w:left="0" w:right="0" w:firstLine="0"/>
        <w:jc w:val="center"/>
        <w:rPr>
          <w:rFonts w:hint="eastAsia" w:ascii="方正小标宋简体" w:hAnsi="方正小标宋简体" w:eastAsia="方正小标宋简体" w:cs="方正小标宋简体"/>
          <w:kern w:val="2"/>
          <w:sz w:val="44"/>
          <w:szCs w:val="44"/>
          <w:lang w:val="en-US" w:eastAsia="zh-CN"/>
        </w:rPr>
      </w:pPr>
    </w:p>
    <w:p>
      <w:pPr>
        <w:spacing w:before="0" w:line="560" w:lineRule="exact"/>
        <w:ind w:left="965" w:right="0" w:hanging="880"/>
        <w:jc w:val="center"/>
        <w:rPr>
          <w:rFonts w:hint="eastAsia" w:ascii="方正小标宋简体" w:hAnsi="方正小标宋简体" w:eastAsia="方正小标宋简体" w:cs="方正小标宋简体"/>
          <w:kern w:val="2"/>
          <w:sz w:val="44"/>
          <w:szCs w:val="44"/>
          <w:lang w:val="en-US" w:eastAsia="zh-CN"/>
        </w:rPr>
      </w:pPr>
      <w:r>
        <w:rPr>
          <w:rFonts w:hint="eastAsia" w:ascii="方正小标宋简体" w:hAnsi="方正小标宋简体" w:eastAsia="方正小标宋简体" w:cs="方正小标宋简体"/>
          <w:kern w:val="2"/>
          <w:sz w:val="44"/>
          <w:szCs w:val="44"/>
          <w:lang w:val="en-US" w:eastAsia="zh-CN"/>
        </w:rPr>
        <w:t>关于广州市花都区</w:t>
      </w:r>
      <w:r>
        <w:rPr>
          <w:rFonts w:hint="default" w:ascii="Times New Roman" w:hAnsi="Times New Roman" w:eastAsia="方正小标宋简体" w:cs="Times New Roman"/>
          <w:kern w:val="2"/>
          <w:sz w:val="44"/>
          <w:szCs w:val="44"/>
          <w:lang w:val="en-US" w:eastAsia="zh-CN"/>
        </w:rPr>
        <w:t>2026</w:t>
      </w:r>
      <w:r>
        <w:rPr>
          <w:rFonts w:hint="eastAsia" w:ascii="方正小标宋简体" w:hAnsi="方正小标宋简体" w:eastAsia="方正小标宋简体" w:cs="方正小标宋简体"/>
          <w:kern w:val="2"/>
          <w:sz w:val="44"/>
          <w:szCs w:val="44"/>
          <w:lang w:val="en-US" w:eastAsia="zh-CN"/>
        </w:rPr>
        <w:t>年度第四批次城镇</w:t>
      </w:r>
    </w:p>
    <w:p>
      <w:pPr>
        <w:spacing w:before="0" w:line="560" w:lineRule="exact"/>
        <w:ind w:left="965" w:right="0" w:hanging="880"/>
        <w:jc w:val="center"/>
        <w:rPr>
          <w:rFonts w:hint="eastAsia" w:ascii="方正小标宋简体" w:hAnsi="方正小标宋简体" w:eastAsia="方正小标宋简体" w:cs="方正小标宋简体"/>
          <w:kern w:val="2"/>
          <w:sz w:val="44"/>
          <w:szCs w:val="44"/>
          <w:lang w:val="en-US" w:eastAsia="zh-CN"/>
        </w:rPr>
      </w:pPr>
      <w:r>
        <w:rPr>
          <w:rFonts w:hint="eastAsia" w:ascii="方正小标宋简体" w:hAnsi="方正小标宋简体" w:eastAsia="方正小标宋简体" w:cs="方正小标宋简体"/>
          <w:kern w:val="2"/>
          <w:sz w:val="44"/>
          <w:szCs w:val="44"/>
          <w:lang w:val="en-US" w:eastAsia="zh-CN"/>
        </w:rPr>
        <w:t>建设用地（广州花都汽车产业基地三期</w:t>
      </w:r>
    </w:p>
    <w:p>
      <w:pPr>
        <w:spacing w:before="0" w:line="560" w:lineRule="exact"/>
        <w:ind w:left="965" w:right="0" w:hanging="880"/>
        <w:jc w:val="center"/>
        <w:rPr>
          <w:rFonts w:hint="eastAsia" w:ascii="方正小标宋简体" w:hAnsi="方正小标宋简体" w:eastAsia="方正小标宋简体" w:cs="方正小标宋简体"/>
          <w:kern w:val="2"/>
          <w:sz w:val="44"/>
          <w:szCs w:val="44"/>
          <w:lang w:val="en-US" w:eastAsia="zh-CN"/>
        </w:rPr>
      </w:pPr>
      <w:r>
        <w:rPr>
          <w:rFonts w:hint="eastAsia" w:ascii="方正小标宋简体" w:hAnsi="方正小标宋简体" w:eastAsia="方正小标宋简体" w:cs="方正小标宋简体"/>
          <w:kern w:val="2"/>
          <w:sz w:val="44"/>
          <w:szCs w:val="44"/>
          <w:lang w:val="en-US" w:eastAsia="zh-CN"/>
        </w:rPr>
        <w:t>启程路建设工程</w:t>
      </w:r>
      <w:r>
        <w:rPr>
          <w:rFonts w:hint="eastAsia" w:ascii="仿宋_GB2312" w:hAnsi="仿宋_GB2312" w:eastAsia="仿宋_GB2312" w:cs="仿宋_GB2312"/>
          <w:kern w:val="2"/>
          <w:sz w:val="44"/>
          <w:szCs w:val="44"/>
          <w:lang w:val="en-US" w:eastAsia="zh-CN"/>
        </w:rPr>
        <w:t>〔</w:t>
      </w:r>
      <w:r>
        <w:rPr>
          <w:rFonts w:hint="eastAsia" w:ascii="方正小标宋简体" w:hAnsi="方正小标宋简体" w:eastAsia="方正小标宋简体" w:cs="方正小标宋简体"/>
          <w:kern w:val="2"/>
          <w:sz w:val="44"/>
          <w:szCs w:val="44"/>
          <w:lang w:val="en-US" w:eastAsia="zh-CN"/>
        </w:rPr>
        <w:t>一期</w:t>
      </w:r>
      <w:r>
        <w:rPr>
          <w:rFonts w:hint="eastAsia" w:ascii="仿宋_GB2312" w:hAnsi="仿宋_GB2312" w:eastAsia="仿宋_GB2312" w:cs="仿宋_GB2312"/>
          <w:kern w:val="2"/>
          <w:sz w:val="44"/>
          <w:szCs w:val="44"/>
          <w:lang w:val="en-US" w:eastAsia="zh-CN"/>
        </w:rPr>
        <w:t>〕</w:t>
      </w:r>
      <w:r>
        <w:rPr>
          <w:rFonts w:hint="eastAsia" w:ascii="方正小标宋简体" w:hAnsi="方正小标宋简体" w:eastAsia="方正小标宋简体" w:cs="方正小标宋简体"/>
          <w:kern w:val="2"/>
          <w:sz w:val="44"/>
          <w:szCs w:val="44"/>
          <w:lang w:val="en-US" w:eastAsia="zh-CN"/>
        </w:rPr>
        <w:t>）</w:t>
      </w:r>
    </w:p>
    <w:p>
      <w:pPr>
        <w:spacing w:before="0" w:line="560" w:lineRule="exact"/>
        <w:ind w:left="965" w:right="0" w:hanging="880"/>
        <w:jc w:val="center"/>
        <w:rPr>
          <w:rFonts w:hint="eastAsia" w:ascii="方正小标宋简体" w:hAnsi="方正小标宋简体" w:eastAsia="方正小标宋简体" w:cs="方正小标宋简体"/>
          <w:kern w:val="2"/>
          <w:sz w:val="44"/>
          <w:szCs w:val="44"/>
        </w:rPr>
      </w:pPr>
      <w:r>
        <w:rPr>
          <w:rFonts w:hint="eastAsia" w:ascii="方正小标宋简体" w:hAnsi="方正小标宋简体" w:eastAsia="方正小标宋简体" w:cs="方正小标宋简体"/>
          <w:kern w:val="2"/>
          <w:sz w:val="44"/>
          <w:szCs w:val="44"/>
          <w:lang w:val="en-US" w:eastAsia="zh-CN"/>
        </w:rPr>
        <w:t>的</w:t>
      </w:r>
      <w:r>
        <w:rPr>
          <w:rFonts w:hint="eastAsia" w:ascii="方正小标宋简体" w:hAnsi="方正小标宋简体" w:eastAsia="方正小标宋简体" w:cs="方正小标宋简体"/>
          <w:kern w:val="2"/>
          <w:sz w:val="44"/>
          <w:szCs w:val="44"/>
        </w:rPr>
        <w:t>征地补偿安置方案</w:t>
      </w:r>
    </w:p>
    <w:p>
      <w:pPr>
        <w:spacing w:before="0" w:line="560" w:lineRule="exact"/>
        <w:rPr>
          <w:rFonts w:ascii="Adobe 黑体 Std R" w:hAnsi="Adobe 黑体 Std R" w:eastAsia="Adobe 黑体 Std R" w:cs="Adobe 黑体 Std R"/>
          <w:kern w:val="2"/>
          <w:sz w:val="34"/>
          <w:szCs w:val="34"/>
        </w:rPr>
      </w:pPr>
    </w:p>
    <w:p>
      <w:pPr>
        <w:pStyle w:val="6"/>
        <w:keepNext w:val="0"/>
        <w:keepLines w:val="0"/>
        <w:pageBreakBefore w:val="0"/>
        <w:widowControl w:val="0"/>
        <w:kinsoku/>
        <w:wordWrap/>
        <w:overflowPunct/>
        <w:topLinePunct w:val="0"/>
        <w:autoSpaceDE/>
        <w:autoSpaceDN/>
        <w:bidi w:val="0"/>
        <w:adjustRightInd/>
        <w:snapToGrid/>
        <w:spacing w:before="0" w:line="560" w:lineRule="exact"/>
        <w:ind w:left="0" w:right="0" w:firstLine="634"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为实施广州市</w:t>
      </w:r>
      <w:r>
        <w:rPr>
          <w:rFonts w:hint="eastAsia" w:ascii="仿宋_GB2312" w:hAnsi="仿宋_GB2312" w:eastAsia="仿宋_GB2312" w:cs="仿宋_GB2312"/>
          <w:spacing w:val="0"/>
          <w:kern w:val="2"/>
          <w:sz w:val="32"/>
          <w:szCs w:val="32"/>
          <w:lang w:eastAsia="zh-CN"/>
        </w:rPr>
        <w:t>花都</w:t>
      </w:r>
      <w:r>
        <w:rPr>
          <w:rFonts w:hint="eastAsia" w:ascii="仿宋_GB2312" w:hAnsi="仿宋_GB2312" w:eastAsia="仿宋_GB2312" w:cs="仿宋_GB2312"/>
          <w:kern w:val="2"/>
          <w:sz w:val="32"/>
          <w:szCs w:val="32"/>
        </w:rPr>
        <w:t>区</w:t>
      </w:r>
      <w:r>
        <w:rPr>
          <w:rFonts w:hint="eastAsia" w:ascii="仿宋_GB2312" w:hAnsi="仿宋_GB2312" w:eastAsia="仿宋_GB2312" w:cs="仿宋_GB2312"/>
          <w:spacing w:val="0"/>
          <w:kern w:val="2"/>
          <w:sz w:val="32"/>
          <w:szCs w:val="32"/>
          <w:lang w:val="en-US" w:eastAsia="zh-CN"/>
        </w:rPr>
        <w:t>炭步</w:t>
      </w:r>
      <w:r>
        <w:rPr>
          <w:rFonts w:hint="eastAsia" w:ascii="仿宋_GB2312" w:hAnsi="仿宋_GB2312" w:eastAsia="仿宋_GB2312" w:cs="仿宋_GB2312"/>
          <w:kern w:val="2"/>
          <w:sz w:val="32"/>
          <w:szCs w:val="32"/>
        </w:rPr>
        <w:t>镇建设规划，完善城市功</w:t>
      </w:r>
      <w:r>
        <w:rPr>
          <w:rFonts w:hint="eastAsia" w:ascii="仿宋_GB2312" w:hAnsi="仿宋_GB2312" w:eastAsia="仿宋_GB2312" w:cs="仿宋_GB2312"/>
          <w:spacing w:val="0"/>
          <w:kern w:val="2"/>
          <w:sz w:val="32"/>
          <w:szCs w:val="32"/>
        </w:rPr>
        <w:t>能</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改善城市环境，促进经济、文化发展，广州市</w:t>
      </w:r>
      <w:r>
        <w:rPr>
          <w:rFonts w:hint="eastAsia" w:ascii="仿宋_GB2312" w:hAnsi="仿宋_GB2312" w:eastAsia="仿宋_GB2312" w:cs="仿宋_GB2312"/>
          <w:spacing w:val="0"/>
          <w:kern w:val="2"/>
          <w:sz w:val="32"/>
          <w:szCs w:val="32"/>
          <w:lang w:eastAsia="zh-CN"/>
        </w:rPr>
        <w:t>花都</w:t>
      </w:r>
      <w:r>
        <w:rPr>
          <w:rFonts w:hint="eastAsia" w:ascii="仿宋_GB2312" w:hAnsi="仿宋_GB2312" w:eastAsia="仿宋_GB2312" w:cs="仿宋_GB2312"/>
          <w:spacing w:val="0"/>
          <w:kern w:val="2"/>
          <w:sz w:val="32"/>
          <w:szCs w:val="32"/>
        </w:rPr>
        <w:t>区人民政府拟征收</w:t>
      </w:r>
      <w:r>
        <w:rPr>
          <w:rFonts w:hint="eastAsia" w:ascii="仿宋_GB2312" w:hAnsi="仿宋_GB2312" w:eastAsia="仿宋_GB2312" w:cs="仿宋_GB2312"/>
          <w:spacing w:val="0"/>
          <w:kern w:val="2"/>
          <w:sz w:val="32"/>
          <w:szCs w:val="32"/>
          <w:lang w:eastAsia="zh-CN"/>
        </w:rPr>
        <w:t>该区</w:t>
      </w:r>
      <w:r>
        <w:rPr>
          <w:rFonts w:hint="eastAsia" w:ascii="仿宋_GB2312" w:hAnsi="仿宋_GB2312" w:eastAsia="仿宋_GB2312" w:cs="仿宋_GB2312"/>
          <w:spacing w:val="0"/>
          <w:kern w:val="2"/>
          <w:sz w:val="32"/>
          <w:szCs w:val="32"/>
          <w:lang w:val="en-US" w:eastAsia="zh-CN"/>
        </w:rPr>
        <w:t>炭步</w:t>
      </w:r>
      <w:r>
        <w:rPr>
          <w:rFonts w:hint="eastAsia" w:ascii="仿宋_GB2312" w:hAnsi="仿宋_GB2312" w:eastAsia="仿宋_GB2312" w:cs="仿宋_GB2312"/>
          <w:spacing w:val="0"/>
          <w:kern w:val="2"/>
          <w:sz w:val="32"/>
          <w:szCs w:val="32"/>
        </w:rPr>
        <w:t>镇</w:t>
      </w:r>
      <w:r>
        <w:rPr>
          <w:rFonts w:hint="eastAsia" w:ascii="仿宋_GB2312" w:hAnsi="仿宋_GB2312" w:eastAsia="仿宋_GB2312" w:cs="仿宋_GB2312"/>
          <w:spacing w:val="0"/>
          <w:kern w:val="2"/>
          <w:sz w:val="32"/>
          <w:szCs w:val="32"/>
          <w:lang w:val="en-US" w:eastAsia="zh-CN"/>
        </w:rPr>
        <w:t>鸭湖</w:t>
      </w:r>
      <w:r>
        <w:rPr>
          <w:rFonts w:hint="eastAsia" w:ascii="仿宋_GB2312" w:hAnsi="仿宋_GB2312" w:eastAsia="仿宋_GB2312" w:cs="仿宋_GB2312"/>
          <w:spacing w:val="0"/>
          <w:kern w:val="2"/>
          <w:sz w:val="32"/>
          <w:szCs w:val="32"/>
          <w:lang w:eastAsia="zh-CN"/>
        </w:rPr>
        <w:t>村</w:t>
      </w:r>
      <w:r>
        <w:rPr>
          <w:rFonts w:hint="eastAsia" w:ascii="仿宋_GB2312" w:hAnsi="仿宋_GB2312" w:eastAsia="仿宋_GB2312" w:cs="仿宋_GB2312"/>
          <w:spacing w:val="0"/>
          <w:kern w:val="2"/>
          <w:sz w:val="32"/>
          <w:szCs w:val="32"/>
          <w:lang w:val="en-US" w:eastAsia="zh-CN" w:bidi="ar"/>
        </w:rPr>
        <w:t>集体经济组织</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lang w:val="en-US" w:eastAsia="zh-CN" w:bidi="ar"/>
        </w:rPr>
        <w:t>鸭湖村第一组集体经济组织</w:t>
      </w:r>
      <w:r>
        <w:rPr>
          <w:rFonts w:hint="eastAsia" w:ascii="仿宋_GB2312" w:hAnsi="仿宋_GB2312" w:eastAsia="仿宋_GB2312" w:cs="仿宋_GB2312"/>
          <w:spacing w:val="0"/>
          <w:kern w:val="2"/>
          <w:sz w:val="32"/>
          <w:szCs w:val="32"/>
          <w:lang w:eastAsia="zh-CN" w:bidi="ar"/>
        </w:rPr>
        <w:t>、</w:t>
      </w:r>
      <w:r>
        <w:rPr>
          <w:rFonts w:hint="eastAsia" w:ascii="仿宋_GB2312" w:hAnsi="仿宋_GB2312" w:eastAsia="仿宋_GB2312" w:cs="仿宋_GB2312"/>
          <w:spacing w:val="0"/>
          <w:kern w:val="2"/>
          <w:sz w:val="32"/>
          <w:szCs w:val="32"/>
          <w:lang w:val="en-US" w:eastAsia="zh-CN" w:bidi="ar"/>
        </w:rPr>
        <w:t>鸭湖村第二组集体经济组织</w:t>
      </w:r>
      <w:r>
        <w:rPr>
          <w:rFonts w:hint="eastAsia" w:ascii="仿宋_GB2312" w:hAnsi="仿宋_GB2312" w:eastAsia="仿宋_GB2312" w:cs="仿宋_GB2312"/>
          <w:spacing w:val="0"/>
          <w:kern w:val="2"/>
          <w:sz w:val="32"/>
          <w:szCs w:val="32"/>
          <w:lang w:eastAsia="zh-CN" w:bidi="ar"/>
        </w:rPr>
        <w:t>、</w:t>
      </w:r>
      <w:r>
        <w:rPr>
          <w:rFonts w:hint="eastAsia" w:ascii="仿宋_GB2312" w:hAnsi="仿宋_GB2312" w:eastAsia="仿宋_GB2312" w:cs="仿宋_GB2312"/>
          <w:spacing w:val="0"/>
          <w:kern w:val="2"/>
          <w:sz w:val="32"/>
          <w:szCs w:val="32"/>
          <w:lang w:val="en-US" w:eastAsia="zh-CN" w:bidi="ar"/>
        </w:rPr>
        <w:t>鸭湖村第三组集体经济组织、鸭湖村第四组集体经济组织、鸭湖村第五组集体经济组织、鸭湖村第六组集体经济组织、鸭湖村第七组集体经济组织、鸭湖村第八组集体经济组织、鸭湖村第九组集体经济组织、鸭湖村第十组集体经济组织</w:t>
      </w:r>
      <w:r>
        <w:rPr>
          <w:rFonts w:hint="eastAsia" w:ascii="仿宋_GB2312" w:hAnsi="仿宋_GB2312" w:eastAsia="仿宋_GB2312" w:cs="仿宋_GB2312"/>
          <w:spacing w:val="0"/>
          <w:kern w:val="2"/>
          <w:sz w:val="32"/>
          <w:szCs w:val="32"/>
        </w:rPr>
        <w:t>属</w:t>
      </w:r>
      <w:r>
        <w:rPr>
          <w:rFonts w:hint="eastAsia" w:ascii="仿宋_GB2312" w:hAnsi="仿宋_GB2312" w:eastAsia="仿宋_GB2312" w:cs="仿宋_GB2312"/>
          <w:kern w:val="2"/>
          <w:sz w:val="32"/>
          <w:szCs w:val="32"/>
        </w:rPr>
        <w:t>下的集体土地</w:t>
      </w:r>
      <w:r>
        <w:rPr>
          <w:rFonts w:hint="eastAsia" w:ascii="Times New Roman" w:hAnsi="Times New Roman" w:eastAsia="仿宋_GB2312" w:cs="Times New Roman"/>
          <w:kern w:val="2"/>
          <w:sz w:val="32"/>
          <w:szCs w:val="32"/>
          <w:lang w:val="en-US" w:eastAsia="zh-CN"/>
        </w:rPr>
        <w:t>4.7157</w:t>
      </w:r>
      <w:r>
        <w:rPr>
          <w:rFonts w:hint="default" w:ascii="Times New Roman" w:hAnsi="Times New Roman" w:eastAsia="仿宋_GB2312" w:cs="Times New Roman"/>
          <w:kern w:val="2"/>
          <w:sz w:val="32"/>
          <w:szCs w:val="32"/>
        </w:rPr>
        <w:t>公顷</w:t>
      </w:r>
      <w:r>
        <w:rPr>
          <w:rFonts w:hint="eastAsia" w:ascii="Times New Roman" w:hAnsi="Times New Roman" w:eastAsia="仿宋_GB2312" w:cs="Times New Roman"/>
          <w:kern w:val="2"/>
          <w:sz w:val="32"/>
          <w:szCs w:val="32"/>
          <w:lang w:eastAsia="zh-CN"/>
        </w:rPr>
        <w:t>，面积合计</w:t>
      </w:r>
      <w:r>
        <w:rPr>
          <w:rFonts w:hint="eastAsia" w:ascii="Times New Roman" w:hAnsi="Times New Roman" w:eastAsia="仿宋_GB2312" w:cs="Times New Roman"/>
          <w:kern w:val="2"/>
          <w:sz w:val="32"/>
          <w:szCs w:val="32"/>
          <w:lang w:val="en-US" w:eastAsia="zh-CN"/>
        </w:rPr>
        <w:t>4.7157公顷。</w:t>
      </w:r>
      <w:r>
        <w:rPr>
          <w:rFonts w:hint="eastAsia" w:ascii="仿宋_GB2312" w:hAnsi="仿宋_GB2312" w:eastAsia="仿宋_GB2312" w:cs="仿宋_GB2312"/>
          <w:kern w:val="2"/>
          <w:sz w:val="32"/>
          <w:szCs w:val="32"/>
        </w:rPr>
        <w:t>根据《中华人民共和国土地管理法》第二条、第四十五条、第四十七条</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《中华人民共和国土地管理法实施条例》第二十七条、第二十八条，以及《广东省</w:t>
      </w:r>
      <w:r>
        <w:rPr>
          <w:rFonts w:hint="eastAsia" w:ascii="仿宋_GB2312" w:hAnsi="仿宋_GB2312" w:eastAsia="仿宋_GB2312" w:cs="仿宋_GB2312"/>
          <w:spacing w:val="0"/>
          <w:kern w:val="2"/>
          <w:sz w:val="32"/>
          <w:szCs w:val="32"/>
        </w:rPr>
        <w:t>土地管理条例》第三十条等规定，结合</w:t>
      </w:r>
      <w:r>
        <w:rPr>
          <w:rFonts w:hint="eastAsia" w:ascii="仿宋_GB2312" w:hAnsi="仿宋_GB2312" w:eastAsia="仿宋_GB2312" w:cs="仿宋_GB2312"/>
          <w:spacing w:val="0"/>
          <w:kern w:val="2"/>
          <w:sz w:val="32"/>
          <w:szCs w:val="32"/>
          <w:lang w:eastAsia="zh-CN"/>
        </w:rPr>
        <w:t>花都</w:t>
      </w:r>
      <w:r>
        <w:rPr>
          <w:rFonts w:hint="eastAsia" w:ascii="仿宋_GB2312" w:hAnsi="仿宋_GB2312" w:eastAsia="仿宋_GB2312" w:cs="仿宋_GB2312"/>
          <w:spacing w:val="0"/>
          <w:kern w:val="2"/>
          <w:sz w:val="32"/>
          <w:szCs w:val="32"/>
        </w:rPr>
        <w:t>区的征收农用地</w:t>
      </w:r>
      <w:r>
        <w:rPr>
          <w:rFonts w:hint="eastAsia" w:ascii="仿宋_GB2312" w:hAnsi="仿宋_GB2312" w:eastAsia="仿宋_GB2312" w:cs="仿宋_GB2312"/>
          <w:kern w:val="2"/>
          <w:sz w:val="32"/>
          <w:szCs w:val="32"/>
        </w:rPr>
        <w:t>区片综合地价和实际情况，拟定了征地补偿安置方案，具体如下：</w:t>
      </w:r>
    </w:p>
    <w:p>
      <w:pPr>
        <w:pStyle w:val="6"/>
        <w:keepNext w:val="0"/>
        <w:keepLines w:val="0"/>
        <w:pageBreakBefore w:val="0"/>
        <w:widowControl w:val="0"/>
        <w:kinsoku/>
        <w:wordWrap/>
        <w:overflowPunct/>
        <w:topLinePunct w:val="0"/>
        <w:autoSpaceDE/>
        <w:autoSpaceDN/>
        <w:bidi w:val="0"/>
        <w:adjustRightInd/>
        <w:snapToGrid/>
        <w:spacing w:before="0" w:line="560" w:lineRule="exact"/>
        <w:ind w:left="0" w:right="0" w:firstLine="634"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一、征收范围</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拟征收土地位于广州市花都区</w:t>
      </w:r>
      <w:r>
        <w:rPr>
          <w:rFonts w:hint="eastAsia" w:ascii="仿宋_GB2312" w:hAnsi="仿宋_GB2312" w:eastAsia="仿宋_GB2312" w:cs="仿宋_GB2312"/>
          <w:spacing w:val="0"/>
          <w:kern w:val="2"/>
          <w:sz w:val="32"/>
          <w:szCs w:val="32"/>
          <w:lang w:val="en-US" w:eastAsia="zh-CN"/>
        </w:rPr>
        <w:t>炭步</w:t>
      </w:r>
      <w:r>
        <w:rPr>
          <w:rFonts w:hint="default" w:ascii="Times New Roman" w:hAnsi="Times New Roman" w:eastAsia="仿宋_GB2312" w:cs="Times New Roman"/>
          <w:kern w:val="2"/>
          <w:sz w:val="32"/>
          <w:szCs w:val="32"/>
        </w:rPr>
        <w:t>镇</w:t>
      </w:r>
      <w:r>
        <w:rPr>
          <w:rFonts w:hint="eastAsia" w:ascii="仿宋_GB2312" w:hAnsi="仿宋_GB2312" w:eastAsia="仿宋_GB2312" w:cs="仿宋_GB2312"/>
          <w:spacing w:val="0"/>
          <w:kern w:val="2"/>
          <w:sz w:val="32"/>
          <w:szCs w:val="32"/>
          <w:lang w:val="en-US" w:eastAsia="zh-CN"/>
        </w:rPr>
        <w:t>鸭湖</w:t>
      </w:r>
      <w:r>
        <w:rPr>
          <w:rFonts w:hint="default" w:ascii="Times New Roman" w:hAnsi="Times New Roman" w:eastAsia="仿宋_GB2312" w:cs="Times New Roman"/>
          <w:kern w:val="2"/>
          <w:sz w:val="32"/>
          <w:szCs w:val="32"/>
        </w:rPr>
        <w:t>村</w:t>
      </w:r>
      <w:r>
        <w:rPr>
          <w:rFonts w:hint="eastAsia" w:ascii="仿宋_GB2312" w:hAnsi="仿宋_GB2312" w:eastAsia="仿宋_GB2312" w:cs="仿宋_GB2312"/>
          <w:spacing w:val="0"/>
          <w:kern w:val="2"/>
          <w:sz w:val="32"/>
          <w:szCs w:val="32"/>
          <w:lang w:val="en-US" w:eastAsia="zh-CN" w:bidi="ar"/>
        </w:rPr>
        <w:t>集体经济组织</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lang w:val="en-US" w:eastAsia="zh-CN" w:bidi="ar"/>
        </w:rPr>
        <w:t>鸭湖村第一组集体经济组织</w:t>
      </w:r>
      <w:r>
        <w:rPr>
          <w:rFonts w:hint="eastAsia" w:ascii="仿宋_GB2312" w:hAnsi="仿宋_GB2312" w:eastAsia="仿宋_GB2312" w:cs="仿宋_GB2312"/>
          <w:spacing w:val="0"/>
          <w:kern w:val="2"/>
          <w:sz w:val="32"/>
          <w:szCs w:val="32"/>
          <w:lang w:eastAsia="zh-CN" w:bidi="ar"/>
        </w:rPr>
        <w:t>、</w:t>
      </w:r>
      <w:r>
        <w:rPr>
          <w:rFonts w:hint="eastAsia" w:ascii="仿宋_GB2312" w:hAnsi="仿宋_GB2312" w:eastAsia="仿宋_GB2312" w:cs="仿宋_GB2312"/>
          <w:spacing w:val="0"/>
          <w:kern w:val="2"/>
          <w:sz w:val="32"/>
          <w:szCs w:val="32"/>
          <w:lang w:val="en-US" w:eastAsia="zh-CN" w:bidi="ar"/>
        </w:rPr>
        <w:t>鸭湖村第二组集体经济组织</w:t>
      </w:r>
      <w:r>
        <w:rPr>
          <w:rFonts w:hint="eastAsia" w:ascii="仿宋_GB2312" w:hAnsi="仿宋_GB2312" w:eastAsia="仿宋_GB2312" w:cs="仿宋_GB2312"/>
          <w:spacing w:val="0"/>
          <w:kern w:val="2"/>
          <w:sz w:val="32"/>
          <w:szCs w:val="32"/>
          <w:lang w:eastAsia="zh-CN" w:bidi="ar"/>
        </w:rPr>
        <w:t>、</w:t>
      </w:r>
      <w:r>
        <w:rPr>
          <w:rFonts w:hint="eastAsia" w:ascii="仿宋_GB2312" w:hAnsi="仿宋_GB2312" w:eastAsia="仿宋_GB2312" w:cs="仿宋_GB2312"/>
          <w:spacing w:val="0"/>
          <w:kern w:val="2"/>
          <w:sz w:val="32"/>
          <w:szCs w:val="32"/>
          <w:lang w:val="en-US" w:eastAsia="zh-CN" w:bidi="ar"/>
        </w:rPr>
        <w:t>鸭湖村第三组集体经济组织、鸭湖村第四组集体经济组织、鸭湖村第五组集体经济组织、鸭湖村第六组集体经济组织、鸭湖村第七组集体经济组织、鸭湖村第八组集体经济组织、鸭湖村第九组集体经济组织、鸭湖村第十组集体经济组织</w:t>
      </w:r>
      <w:r>
        <w:rPr>
          <w:rFonts w:hint="default" w:ascii="Times New Roman" w:hAnsi="Times New Roman" w:eastAsia="仿宋_GB2312" w:cs="Times New Roman"/>
          <w:kern w:val="2"/>
          <w:sz w:val="32"/>
          <w:szCs w:val="32"/>
        </w:rPr>
        <w:t>范围内，具体位置详见附图。</w:t>
      </w:r>
    </w:p>
    <w:p>
      <w:pPr>
        <w:pStyle w:val="6"/>
        <w:keepNext w:val="0"/>
        <w:keepLines w:val="0"/>
        <w:pageBreakBefore w:val="0"/>
        <w:widowControl w:val="0"/>
        <w:kinsoku/>
        <w:wordWrap/>
        <w:overflowPunct/>
        <w:topLinePunct w:val="0"/>
        <w:autoSpaceDE/>
        <w:autoSpaceDN/>
        <w:bidi w:val="0"/>
        <w:adjustRightInd/>
        <w:snapToGrid/>
        <w:spacing w:before="0" w:line="560" w:lineRule="exact"/>
        <w:ind w:left="0" w:right="0" w:firstLine="634"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实际征收土地范围以最终批准文件为准。</w:t>
      </w:r>
    </w:p>
    <w:p>
      <w:pPr>
        <w:pStyle w:val="6"/>
        <w:keepNext w:val="0"/>
        <w:keepLines w:val="0"/>
        <w:pageBreakBefore w:val="0"/>
        <w:widowControl w:val="0"/>
        <w:kinsoku/>
        <w:wordWrap/>
        <w:overflowPunct/>
        <w:topLinePunct w:val="0"/>
        <w:autoSpaceDE/>
        <w:autoSpaceDN/>
        <w:bidi w:val="0"/>
        <w:adjustRightInd/>
        <w:snapToGrid/>
        <w:spacing w:before="0" w:line="560" w:lineRule="exact"/>
        <w:ind w:left="0" w:right="0" w:firstLine="634"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二、征收目的</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eastAsia" w:ascii="Times New Roman" w:hAnsi="Times New Roman" w:eastAsia="仿宋_GB2312" w:cs="Times New Roman"/>
          <w:kern w:val="2"/>
          <w:sz w:val="32"/>
          <w:szCs w:val="32"/>
          <w:highlight w:val="none"/>
          <w:lang w:eastAsia="zh-CN"/>
        </w:rPr>
      </w:pPr>
      <w:r>
        <w:rPr>
          <w:rFonts w:hint="default" w:ascii="Times New Roman" w:hAnsi="Times New Roman" w:eastAsia="仿宋_GB2312" w:cs="Times New Roman"/>
          <w:kern w:val="2"/>
          <w:sz w:val="32"/>
          <w:szCs w:val="32"/>
        </w:rPr>
        <w:t>根据《中华人民共和国土地管理法》第四十五条的规定，本次征收土地目的为由</w:t>
      </w:r>
      <w:r>
        <w:rPr>
          <w:rFonts w:hint="eastAsia" w:ascii="Times New Roman" w:hAnsi="Times New Roman" w:eastAsia="仿宋_GB2312" w:cs="Times New Roman"/>
          <w:kern w:val="2"/>
          <w:sz w:val="32"/>
          <w:szCs w:val="32"/>
          <w:lang w:val="en-US" w:eastAsia="zh-CN"/>
        </w:rPr>
        <w:t>政府</w:t>
      </w:r>
      <w:r>
        <w:rPr>
          <w:rFonts w:hint="default" w:ascii="Times New Roman" w:hAnsi="Times New Roman" w:eastAsia="仿宋_GB2312" w:cs="Times New Roman"/>
          <w:kern w:val="2"/>
          <w:sz w:val="32"/>
          <w:szCs w:val="32"/>
        </w:rPr>
        <w:t>组织</w:t>
      </w:r>
      <w:r>
        <w:rPr>
          <w:rFonts w:hint="eastAsia" w:ascii="Times New Roman" w:hAnsi="Times New Roman" w:eastAsia="仿宋_GB2312" w:cs="Times New Roman"/>
          <w:kern w:val="2"/>
          <w:sz w:val="32"/>
          <w:szCs w:val="32"/>
          <w:lang w:val="en-US" w:eastAsia="zh-CN"/>
        </w:rPr>
        <w:t>实施</w:t>
      </w:r>
      <w:r>
        <w:rPr>
          <w:rFonts w:hint="default" w:ascii="Times New Roman" w:hAnsi="Times New Roman" w:eastAsia="仿宋_GB2312" w:cs="Times New Roman"/>
          <w:kern w:val="2"/>
          <w:sz w:val="32"/>
          <w:szCs w:val="32"/>
        </w:rPr>
        <w:t>的能源、</w:t>
      </w:r>
      <w:r>
        <w:rPr>
          <w:rFonts w:hint="eastAsia" w:ascii="Times New Roman" w:hAnsi="Times New Roman" w:eastAsia="仿宋_GB2312" w:cs="Times New Roman"/>
          <w:kern w:val="2"/>
          <w:sz w:val="32"/>
          <w:szCs w:val="32"/>
          <w:lang w:val="en-US" w:eastAsia="zh-CN"/>
        </w:rPr>
        <w:t>交通</w:t>
      </w:r>
      <w:r>
        <w:rPr>
          <w:rFonts w:hint="default" w:ascii="Times New Roman" w:hAnsi="Times New Roman" w:eastAsia="仿宋_GB2312" w:cs="Times New Roman"/>
          <w:kern w:val="2"/>
          <w:sz w:val="32"/>
          <w:szCs w:val="32"/>
        </w:rPr>
        <w:t>、水利、通信、邮政等基础设施建设需要用地的</w:t>
      </w:r>
      <w:r>
        <w:rPr>
          <w:rFonts w:hint="eastAsia" w:ascii="Times New Roman" w:hAnsi="Times New Roman" w:eastAsia="仿宋_GB2312" w:cs="Times New Roman"/>
          <w:color w:val="auto"/>
          <w:kern w:val="2"/>
          <w:sz w:val="32"/>
          <w:szCs w:val="32"/>
          <w:highlight w:val="none"/>
          <w:lang w:eastAsia="zh-CN"/>
        </w:rPr>
        <w:t>。</w:t>
      </w:r>
    </w:p>
    <w:p>
      <w:pPr>
        <w:pStyle w:val="6"/>
        <w:keepNext w:val="0"/>
        <w:keepLines w:val="0"/>
        <w:pageBreakBefore w:val="0"/>
        <w:widowControl w:val="0"/>
        <w:kinsoku/>
        <w:wordWrap/>
        <w:overflowPunct/>
        <w:topLinePunct w:val="0"/>
        <w:autoSpaceDE/>
        <w:autoSpaceDN/>
        <w:bidi w:val="0"/>
        <w:adjustRightInd/>
        <w:snapToGrid/>
        <w:spacing w:before="0" w:line="560" w:lineRule="exact"/>
        <w:ind w:left="0" w:right="0" w:firstLine="634"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三、土地现状</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kern w:val="2"/>
          <w:sz w:val="32"/>
          <w:szCs w:val="32"/>
          <w:lang w:eastAsia="zh-CN"/>
        </w:rPr>
      </w:pPr>
      <w:r>
        <w:rPr>
          <w:rFonts w:hint="default" w:ascii="Times New Roman" w:hAnsi="Times New Roman" w:eastAsia="仿宋_GB2312" w:cs="Times New Roman"/>
          <w:kern w:val="2"/>
          <w:sz w:val="32"/>
          <w:szCs w:val="32"/>
        </w:rPr>
        <w:t>根据拟征收土地现状调查结果，拟征收土地现状为</w:t>
      </w:r>
      <w:r>
        <w:rPr>
          <w:rFonts w:hint="default" w:ascii="Times New Roman" w:hAnsi="Times New Roman" w:eastAsia="仿宋_GB2312" w:cs="Times New Roman"/>
          <w:kern w:val="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kern w:val="2"/>
          <w:sz w:val="32"/>
          <w:szCs w:val="32"/>
          <w:lang w:eastAsia="zh-CN"/>
        </w:rPr>
      </w:pPr>
      <w:r>
        <w:rPr>
          <w:rFonts w:hint="default" w:ascii="Times New Roman" w:hAnsi="Times New Roman" w:eastAsia="仿宋_GB2312" w:cs="Times New Roman"/>
          <w:kern w:val="2"/>
          <w:sz w:val="32"/>
          <w:szCs w:val="32"/>
        </w:rPr>
        <w:t>拟征收广州市花都区</w:t>
      </w:r>
      <w:r>
        <w:rPr>
          <w:rFonts w:hint="eastAsia" w:ascii="仿宋_GB2312" w:hAnsi="仿宋_GB2312" w:eastAsia="仿宋_GB2312" w:cs="仿宋_GB2312"/>
          <w:spacing w:val="0"/>
          <w:kern w:val="2"/>
          <w:sz w:val="32"/>
          <w:szCs w:val="32"/>
          <w:lang w:val="en-US" w:eastAsia="zh-CN"/>
        </w:rPr>
        <w:t>炭步</w:t>
      </w:r>
      <w:r>
        <w:rPr>
          <w:rFonts w:hint="default" w:ascii="Times New Roman" w:hAnsi="Times New Roman" w:eastAsia="仿宋_GB2312" w:cs="Times New Roman"/>
          <w:kern w:val="2"/>
          <w:sz w:val="32"/>
          <w:szCs w:val="32"/>
        </w:rPr>
        <w:t>镇</w:t>
      </w:r>
      <w:r>
        <w:rPr>
          <w:rFonts w:hint="eastAsia" w:ascii="仿宋_GB2312" w:hAnsi="仿宋_GB2312" w:eastAsia="仿宋_GB2312" w:cs="仿宋_GB2312"/>
          <w:spacing w:val="0"/>
          <w:kern w:val="2"/>
          <w:sz w:val="32"/>
          <w:szCs w:val="32"/>
          <w:lang w:val="en-US" w:eastAsia="zh-CN"/>
        </w:rPr>
        <w:t>鸭湖</w:t>
      </w:r>
      <w:r>
        <w:rPr>
          <w:rFonts w:hint="default" w:ascii="Times New Roman" w:hAnsi="Times New Roman" w:eastAsia="仿宋_GB2312" w:cs="Times New Roman"/>
          <w:kern w:val="2"/>
          <w:sz w:val="32"/>
          <w:szCs w:val="32"/>
        </w:rPr>
        <w:t>村</w:t>
      </w:r>
      <w:r>
        <w:rPr>
          <w:rFonts w:hint="eastAsia" w:ascii="仿宋_GB2312" w:hAnsi="仿宋_GB2312" w:eastAsia="仿宋_GB2312" w:cs="仿宋_GB2312"/>
          <w:spacing w:val="0"/>
          <w:kern w:val="2"/>
          <w:sz w:val="32"/>
          <w:szCs w:val="32"/>
          <w:lang w:val="en-US" w:eastAsia="zh-CN" w:bidi="ar"/>
        </w:rPr>
        <w:t>集体经济组织</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lang w:val="en-US" w:eastAsia="zh-CN" w:bidi="ar"/>
        </w:rPr>
        <w:t>鸭湖村第一组集体经济组织</w:t>
      </w:r>
      <w:r>
        <w:rPr>
          <w:rFonts w:hint="eastAsia" w:ascii="仿宋_GB2312" w:hAnsi="仿宋_GB2312" w:eastAsia="仿宋_GB2312" w:cs="仿宋_GB2312"/>
          <w:spacing w:val="0"/>
          <w:kern w:val="2"/>
          <w:sz w:val="32"/>
          <w:szCs w:val="32"/>
          <w:lang w:eastAsia="zh-CN" w:bidi="ar"/>
        </w:rPr>
        <w:t>、</w:t>
      </w:r>
      <w:r>
        <w:rPr>
          <w:rFonts w:hint="eastAsia" w:ascii="仿宋_GB2312" w:hAnsi="仿宋_GB2312" w:eastAsia="仿宋_GB2312" w:cs="仿宋_GB2312"/>
          <w:spacing w:val="0"/>
          <w:kern w:val="2"/>
          <w:sz w:val="32"/>
          <w:szCs w:val="32"/>
          <w:lang w:val="en-US" w:eastAsia="zh-CN" w:bidi="ar"/>
        </w:rPr>
        <w:t>鸭湖村第二组集体经济组织</w:t>
      </w:r>
      <w:r>
        <w:rPr>
          <w:rFonts w:hint="eastAsia" w:ascii="仿宋_GB2312" w:hAnsi="仿宋_GB2312" w:eastAsia="仿宋_GB2312" w:cs="仿宋_GB2312"/>
          <w:spacing w:val="0"/>
          <w:kern w:val="2"/>
          <w:sz w:val="32"/>
          <w:szCs w:val="32"/>
          <w:lang w:eastAsia="zh-CN" w:bidi="ar"/>
        </w:rPr>
        <w:t>、</w:t>
      </w:r>
      <w:r>
        <w:rPr>
          <w:rFonts w:hint="eastAsia" w:ascii="仿宋_GB2312" w:hAnsi="仿宋_GB2312" w:eastAsia="仿宋_GB2312" w:cs="仿宋_GB2312"/>
          <w:spacing w:val="0"/>
          <w:kern w:val="2"/>
          <w:sz w:val="32"/>
          <w:szCs w:val="32"/>
          <w:lang w:val="en-US" w:eastAsia="zh-CN" w:bidi="ar"/>
        </w:rPr>
        <w:t>鸭湖村第三组集体经济组织、鸭湖村第四组集体经济组织、鸭湖村第五组集体经济组织、鸭湖村第六组集体经济组织、鸭湖村第七组集体经济组织、鸭湖村第八组集体经济组织、鸭湖村第九组集体经济组织、鸭湖村第十组集体经济组织</w:t>
      </w:r>
      <w:r>
        <w:rPr>
          <w:rFonts w:hint="default" w:ascii="Times New Roman" w:hAnsi="Times New Roman" w:eastAsia="仿宋_GB2312" w:cs="Times New Roman"/>
          <w:kern w:val="2"/>
          <w:sz w:val="32"/>
          <w:szCs w:val="32"/>
        </w:rPr>
        <w:t>属下的集体</w:t>
      </w:r>
      <w:r>
        <w:rPr>
          <w:rFonts w:hint="default" w:ascii="Times New Roman" w:hAnsi="Times New Roman" w:eastAsia="仿宋_GB2312" w:cs="Times New Roman"/>
          <w:kern w:val="2"/>
          <w:sz w:val="32"/>
          <w:szCs w:val="32"/>
          <w:lang w:eastAsia="zh-CN"/>
        </w:rPr>
        <w:t>所有</w:t>
      </w:r>
      <w:r>
        <w:rPr>
          <w:rFonts w:hint="default" w:ascii="Times New Roman" w:hAnsi="Times New Roman" w:eastAsia="仿宋_GB2312" w:cs="Times New Roman"/>
          <w:kern w:val="2"/>
          <w:sz w:val="32"/>
          <w:szCs w:val="32"/>
        </w:rPr>
        <w:t>土地</w:t>
      </w:r>
      <w:r>
        <w:rPr>
          <w:rFonts w:hint="eastAsia" w:ascii="Times New Roman" w:hAnsi="Times New Roman" w:eastAsia="仿宋_GB2312" w:cs="Times New Roman"/>
          <w:kern w:val="2"/>
          <w:sz w:val="32"/>
          <w:szCs w:val="32"/>
          <w:lang w:val="en-US" w:eastAsia="zh-CN"/>
        </w:rPr>
        <w:t>4.7157</w:t>
      </w:r>
      <w:r>
        <w:rPr>
          <w:rFonts w:hint="default" w:ascii="Times New Roman" w:hAnsi="Times New Roman" w:eastAsia="仿宋_GB2312" w:cs="Times New Roman"/>
          <w:kern w:val="2"/>
          <w:sz w:val="32"/>
          <w:szCs w:val="32"/>
        </w:rPr>
        <w:t>公顷</w:t>
      </w:r>
      <w:r>
        <w:rPr>
          <w:rFonts w:hint="default" w:ascii="Times New Roman" w:hAnsi="Times New Roman" w:eastAsia="仿宋_GB2312" w:cs="Times New Roman"/>
          <w:kern w:val="2"/>
          <w:sz w:val="32"/>
          <w:szCs w:val="32"/>
          <w:lang w:eastAsia="zh-CN"/>
        </w:rPr>
        <w:t>（</w:t>
      </w:r>
      <w:r>
        <w:rPr>
          <w:rFonts w:hint="eastAsia" w:ascii="Times New Roman" w:hAnsi="Times New Roman" w:eastAsia="仿宋_GB2312" w:cs="Times New Roman"/>
          <w:kern w:val="2"/>
          <w:sz w:val="32"/>
          <w:szCs w:val="32"/>
          <w:lang w:val="en-US" w:eastAsia="zh-CN"/>
        </w:rPr>
        <w:t>70.7355</w:t>
      </w:r>
      <w:r>
        <w:rPr>
          <w:rFonts w:hint="default" w:ascii="Times New Roman" w:hAnsi="Times New Roman" w:eastAsia="仿宋_GB2312" w:cs="Times New Roman"/>
          <w:kern w:val="2"/>
          <w:sz w:val="32"/>
          <w:szCs w:val="32"/>
          <w:lang w:val="en-US" w:eastAsia="zh-CN"/>
        </w:rPr>
        <w:t>亩</w:t>
      </w:r>
      <w:r>
        <w:rPr>
          <w:rFonts w:hint="default" w:ascii="Times New Roman" w:hAnsi="Times New Roman" w:eastAsia="仿宋_GB2312" w:cs="Times New Roman"/>
          <w:kern w:val="2"/>
          <w:sz w:val="32"/>
          <w:szCs w:val="32"/>
          <w:lang w:eastAsia="zh-CN"/>
        </w:rPr>
        <w:t>）</w:t>
      </w:r>
      <w:r>
        <w:rPr>
          <w:rFonts w:hint="default" w:ascii="Times New Roman" w:hAnsi="Times New Roman" w:eastAsia="仿宋_GB2312" w:cs="Times New Roman"/>
          <w:kern w:val="2"/>
          <w:sz w:val="32"/>
          <w:szCs w:val="32"/>
        </w:rPr>
        <w:t>。其中农用地</w:t>
      </w:r>
      <w:r>
        <w:rPr>
          <w:rFonts w:hint="eastAsia" w:ascii="Times New Roman" w:hAnsi="Times New Roman" w:eastAsia="仿宋_GB2312" w:cs="Times New Roman"/>
          <w:kern w:val="2"/>
          <w:sz w:val="32"/>
          <w:szCs w:val="32"/>
          <w:highlight w:val="none"/>
          <w:lang w:val="en-US" w:eastAsia="zh-CN"/>
        </w:rPr>
        <w:t>1.3184</w:t>
      </w:r>
      <w:r>
        <w:rPr>
          <w:rFonts w:hint="default" w:ascii="Times New Roman" w:hAnsi="Times New Roman" w:eastAsia="仿宋_GB2312" w:cs="Times New Roman"/>
          <w:kern w:val="2"/>
          <w:sz w:val="32"/>
          <w:szCs w:val="32"/>
          <w:highlight w:val="none"/>
          <w:lang w:val="en-US" w:eastAsia="zh-CN"/>
        </w:rPr>
        <w:t>公顷</w:t>
      </w:r>
      <w:r>
        <w:rPr>
          <w:rFonts w:hint="default" w:ascii="Times New Roman" w:hAnsi="Times New Roman" w:eastAsia="仿宋_GB2312" w:cs="Times New Roman"/>
          <w:kern w:val="2"/>
          <w:sz w:val="32"/>
          <w:szCs w:val="32"/>
        </w:rPr>
        <w:t>（</w:t>
      </w:r>
      <w:r>
        <w:rPr>
          <w:rFonts w:hint="eastAsia" w:ascii="Times New Roman" w:hAnsi="Times New Roman" w:eastAsia="仿宋_GB2312" w:cs="Times New Roman"/>
          <w:kern w:val="2"/>
          <w:sz w:val="32"/>
          <w:szCs w:val="32"/>
          <w:lang w:val="en-US" w:eastAsia="zh-CN"/>
        </w:rPr>
        <w:t>19.7760</w:t>
      </w:r>
      <w:r>
        <w:rPr>
          <w:rFonts w:hint="default" w:ascii="Times New Roman" w:hAnsi="Times New Roman" w:eastAsia="仿宋_GB2312" w:cs="Times New Roman"/>
          <w:kern w:val="2"/>
          <w:sz w:val="32"/>
          <w:szCs w:val="32"/>
        </w:rPr>
        <w:t>亩），</w:t>
      </w:r>
      <w:r>
        <w:rPr>
          <w:rFonts w:hint="eastAsia" w:ascii="Times New Roman" w:hAnsi="Times New Roman" w:eastAsia="仿宋_GB2312" w:cs="Times New Roman"/>
          <w:kern w:val="2"/>
          <w:sz w:val="32"/>
          <w:szCs w:val="32"/>
          <w:lang w:val="en-US" w:eastAsia="zh-CN"/>
        </w:rPr>
        <w:t>含</w:t>
      </w:r>
      <w:r>
        <w:rPr>
          <w:rFonts w:hint="default" w:ascii="Times New Roman" w:hAnsi="Times New Roman" w:eastAsia="仿宋_GB2312" w:cs="Times New Roman"/>
          <w:kern w:val="2"/>
          <w:sz w:val="32"/>
          <w:szCs w:val="32"/>
        </w:rPr>
        <w:t>耕地</w:t>
      </w:r>
      <w:r>
        <w:rPr>
          <w:rFonts w:hint="eastAsia" w:ascii="Times New Roman" w:hAnsi="Times New Roman" w:eastAsia="仿宋_GB2312" w:cs="Times New Roman"/>
          <w:kern w:val="2"/>
          <w:sz w:val="32"/>
          <w:szCs w:val="32"/>
          <w:lang w:val="en-US" w:eastAsia="zh-CN"/>
        </w:rPr>
        <w:t>0.0111公顷</w:t>
      </w:r>
      <w:r>
        <w:rPr>
          <w:rFonts w:hint="default" w:cs="Times New Roman"/>
          <w:kern w:val="2"/>
          <w:sz w:val="32"/>
          <w:szCs w:val="32"/>
          <w:lang w:eastAsia="zh-CN"/>
        </w:rPr>
        <w:t>（0.1665亩）</w:t>
      </w:r>
      <w:bookmarkStart w:id="0" w:name="_GoBack"/>
      <w:bookmarkEnd w:id="0"/>
      <w:r>
        <w:rPr>
          <w:rFonts w:hint="default" w:ascii="Times New Roman" w:hAnsi="Times New Roman" w:eastAsia="仿宋_GB2312" w:cs="Times New Roman"/>
          <w:kern w:val="2"/>
          <w:sz w:val="32"/>
          <w:szCs w:val="32"/>
        </w:rPr>
        <w:t>；建设用地</w:t>
      </w:r>
      <w:r>
        <w:rPr>
          <w:rFonts w:hint="eastAsia" w:ascii="Times New Roman" w:hAnsi="Times New Roman" w:eastAsia="仿宋_GB2312" w:cs="Times New Roman"/>
          <w:kern w:val="2"/>
          <w:sz w:val="32"/>
          <w:szCs w:val="32"/>
          <w:lang w:val="en-US" w:eastAsia="zh-CN"/>
        </w:rPr>
        <w:t>3.3973</w:t>
      </w:r>
      <w:r>
        <w:rPr>
          <w:rFonts w:hint="default" w:ascii="Times New Roman" w:hAnsi="Times New Roman" w:eastAsia="仿宋_GB2312" w:cs="Times New Roman"/>
          <w:kern w:val="2"/>
          <w:sz w:val="32"/>
          <w:szCs w:val="32"/>
        </w:rPr>
        <w:t>公顷（</w:t>
      </w:r>
      <w:r>
        <w:rPr>
          <w:rFonts w:hint="eastAsia" w:ascii="Times New Roman" w:hAnsi="Times New Roman" w:eastAsia="仿宋_GB2312" w:cs="Times New Roman"/>
          <w:kern w:val="2"/>
          <w:sz w:val="32"/>
          <w:szCs w:val="32"/>
          <w:lang w:val="en-US" w:eastAsia="zh-CN"/>
        </w:rPr>
        <w:t>50.9595</w:t>
      </w:r>
      <w:r>
        <w:rPr>
          <w:rFonts w:hint="default" w:ascii="Times New Roman" w:hAnsi="Times New Roman" w:eastAsia="仿宋_GB2312" w:cs="Times New Roman"/>
          <w:kern w:val="2"/>
          <w:sz w:val="32"/>
          <w:szCs w:val="32"/>
        </w:rPr>
        <w:t>亩</w:t>
      </w:r>
      <w:r>
        <w:rPr>
          <w:rFonts w:hint="eastAsia" w:ascii="Times New Roman" w:hAnsi="Times New Roman" w:eastAsia="仿宋_GB2312" w:cs="Times New Roman"/>
          <w:kern w:val="2"/>
          <w:sz w:val="32"/>
          <w:szCs w:val="32"/>
          <w:lang w:eastAsia="zh-CN"/>
        </w:rPr>
        <w:t>）</w:t>
      </w:r>
      <w:r>
        <w:rPr>
          <w:rFonts w:hint="default" w:ascii="Times New Roman" w:hAnsi="Times New Roman" w:eastAsia="仿宋_GB2312" w:cs="Times New Roman"/>
          <w:kern w:val="2"/>
          <w:sz w:val="32"/>
          <w:szCs w:val="32"/>
          <w:lang w:eastAsia="zh-CN"/>
        </w:rPr>
        <w:t>。</w:t>
      </w:r>
    </w:p>
    <w:p>
      <w:pPr>
        <w:pStyle w:val="6"/>
        <w:keepNext w:val="0"/>
        <w:keepLines w:val="0"/>
        <w:pageBreakBefore w:val="0"/>
        <w:widowControl w:val="0"/>
        <w:kinsoku/>
        <w:wordWrap/>
        <w:overflowPunct/>
        <w:topLinePunct w:val="0"/>
        <w:autoSpaceDE/>
        <w:autoSpaceDN/>
        <w:bidi w:val="0"/>
        <w:adjustRightInd/>
        <w:snapToGrid/>
        <w:spacing w:before="0" w:line="560" w:lineRule="exact"/>
        <w:ind w:left="0" w:right="0" w:firstLine="634"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四、补偿方式和标准</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（一）土地补偿费和安置补助费标准。</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color w:val="auto"/>
          <w:kern w:val="2"/>
          <w:sz w:val="32"/>
          <w:szCs w:val="32"/>
          <w:highlight w:val="none"/>
          <w:lang w:val="en-US" w:eastAsia="zh-CN"/>
        </w:rPr>
      </w:pPr>
      <w:r>
        <w:rPr>
          <w:rFonts w:hint="default" w:ascii="Times New Roman" w:hAnsi="Times New Roman" w:eastAsia="仿宋_GB2312" w:cs="Times New Roman"/>
          <w:kern w:val="2"/>
          <w:sz w:val="32"/>
          <w:szCs w:val="32"/>
        </w:rPr>
        <w:t>根据《中华人民共和国土地管理法》《广东省土地管理条例》等规定，</w:t>
      </w:r>
      <w:r>
        <w:rPr>
          <w:rFonts w:hint="default" w:ascii="Times New Roman" w:hAnsi="Times New Roman" w:eastAsia="仿宋_GB2312" w:cs="Times New Roman"/>
          <w:color w:val="auto"/>
          <w:kern w:val="2"/>
          <w:sz w:val="32"/>
          <w:szCs w:val="32"/>
          <w:highlight w:val="none"/>
        </w:rPr>
        <w:t>并结合《</w:t>
      </w:r>
      <w:r>
        <w:rPr>
          <w:rFonts w:hint="eastAsia" w:ascii="Times New Roman" w:hAnsi="Times New Roman" w:eastAsia="仿宋_GB2312" w:cs="Times New Roman"/>
          <w:color w:val="auto"/>
          <w:kern w:val="2"/>
          <w:sz w:val="32"/>
          <w:szCs w:val="32"/>
          <w:highlight w:val="none"/>
          <w:lang w:eastAsia="zh-CN"/>
        </w:rPr>
        <w:t>广东省自然资源厅关于</w:t>
      </w:r>
      <w:r>
        <w:rPr>
          <w:rFonts w:hint="default" w:ascii="Times New Roman" w:hAnsi="Times New Roman" w:eastAsia="仿宋_GB2312" w:cs="Times New Roman"/>
          <w:color w:val="auto"/>
          <w:kern w:val="2"/>
          <w:sz w:val="32"/>
          <w:szCs w:val="32"/>
          <w:highlight w:val="none"/>
        </w:rPr>
        <w:t>广州</w:t>
      </w:r>
      <w:r>
        <w:rPr>
          <w:rFonts w:hint="eastAsia" w:ascii="Times New Roman" w:hAnsi="Times New Roman" w:eastAsia="仿宋_GB2312" w:cs="Times New Roman"/>
          <w:color w:val="auto"/>
          <w:kern w:val="2"/>
          <w:sz w:val="32"/>
          <w:szCs w:val="32"/>
          <w:highlight w:val="none"/>
          <w:lang w:eastAsia="zh-CN"/>
        </w:rPr>
        <w:t>市</w:t>
      </w:r>
      <w:r>
        <w:rPr>
          <w:rFonts w:hint="default" w:ascii="Times New Roman" w:hAnsi="Times New Roman" w:eastAsia="仿宋_GB2312" w:cs="Times New Roman"/>
          <w:color w:val="auto"/>
          <w:kern w:val="2"/>
          <w:sz w:val="32"/>
          <w:szCs w:val="32"/>
          <w:highlight w:val="none"/>
        </w:rPr>
        <w:t>征收农用地区片综合地价</w:t>
      </w:r>
      <w:r>
        <w:rPr>
          <w:rFonts w:hint="eastAsia" w:ascii="Times New Roman" w:hAnsi="Times New Roman" w:eastAsia="仿宋_GB2312" w:cs="Times New Roman"/>
          <w:color w:val="auto"/>
          <w:kern w:val="2"/>
          <w:sz w:val="32"/>
          <w:szCs w:val="32"/>
          <w:highlight w:val="none"/>
          <w:lang w:eastAsia="zh-CN"/>
        </w:rPr>
        <w:t>成果的批复</w:t>
      </w:r>
      <w:r>
        <w:rPr>
          <w:rFonts w:hint="default" w:ascii="Times New Roman" w:hAnsi="Times New Roman" w:eastAsia="仿宋_GB2312" w:cs="Times New Roman"/>
          <w:color w:val="auto"/>
          <w:kern w:val="2"/>
          <w:sz w:val="32"/>
          <w:szCs w:val="32"/>
          <w:highlight w:val="none"/>
        </w:rPr>
        <w:t>》</w:t>
      </w:r>
      <w:r>
        <w:rPr>
          <w:rFonts w:hint="eastAsia" w:ascii="Times New Roman" w:hAnsi="Times New Roman" w:eastAsia="仿宋_GB2312" w:cs="Times New Roman"/>
          <w:color w:val="auto"/>
          <w:kern w:val="2"/>
          <w:sz w:val="32"/>
          <w:szCs w:val="32"/>
          <w:highlight w:val="none"/>
          <w:lang w:eastAsia="zh-CN"/>
        </w:rPr>
        <w:t>（粤自然资函〔202</w:t>
      </w:r>
      <w:r>
        <w:rPr>
          <w:rFonts w:hint="eastAsia" w:ascii="Times New Roman" w:hAnsi="Times New Roman" w:eastAsia="仿宋_GB2312" w:cs="Times New Roman"/>
          <w:color w:val="auto"/>
          <w:kern w:val="2"/>
          <w:sz w:val="32"/>
          <w:szCs w:val="32"/>
          <w:highlight w:val="none"/>
          <w:lang w:val="en-US" w:eastAsia="zh-CN"/>
        </w:rPr>
        <w:t>4</w:t>
      </w:r>
      <w:r>
        <w:rPr>
          <w:rFonts w:hint="eastAsia" w:ascii="Times New Roman" w:hAnsi="Times New Roman" w:eastAsia="仿宋_GB2312" w:cs="Times New Roman"/>
          <w:color w:val="auto"/>
          <w:kern w:val="2"/>
          <w:sz w:val="32"/>
          <w:szCs w:val="32"/>
          <w:highlight w:val="none"/>
          <w:lang w:eastAsia="zh-CN"/>
        </w:rPr>
        <w:t>〕</w:t>
      </w:r>
      <w:r>
        <w:rPr>
          <w:rFonts w:hint="eastAsia" w:ascii="Times New Roman" w:hAnsi="Times New Roman" w:eastAsia="仿宋_GB2312" w:cs="Times New Roman"/>
          <w:color w:val="auto"/>
          <w:kern w:val="2"/>
          <w:sz w:val="32"/>
          <w:szCs w:val="32"/>
          <w:highlight w:val="none"/>
          <w:lang w:val="en-US" w:eastAsia="zh-CN"/>
        </w:rPr>
        <w:t>103号</w:t>
      </w:r>
      <w:r>
        <w:rPr>
          <w:rFonts w:hint="eastAsia" w:ascii="Times New Roman" w:hAnsi="Times New Roman" w:eastAsia="仿宋_GB2312" w:cs="Times New Roman"/>
          <w:color w:val="auto"/>
          <w:kern w:val="2"/>
          <w:sz w:val="32"/>
          <w:szCs w:val="32"/>
          <w:highlight w:val="none"/>
          <w:lang w:eastAsia="zh-CN"/>
        </w:rPr>
        <w:t>）</w:t>
      </w:r>
      <w:r>
        <w:rPr>
          <w:rFonts w:hint="default" w:ascii="Times New Roman" w:hAnsi="Times New Roman" w:eastAsia="仿宋_GB2312" w:cs="Times New Roman"/>
          <w:color w:val="auto"/>
          <w:kern w:val="2"/>
          <w:sz w:val="32"/>
          <w:szCs w:val="32"/>
          <w:highlight w:val="none"/>
        </w:rPr>
        <w:t>的规定，</w:t>
      </w:r>
      <w:r>
        <w:rPr>
          <w:rFonts w:hint="eastAsia" w:ascii="Times New Roman" w:hAnsi="Times New Roman" w:eastAsia="仿宋_GB2312" w:cs="Times New Roman"/>
          <w:color w:val="auto"/>
          <w:kern w:val="2"/>
          <w:sz w:val="32"/>
          <w:szCs w:val="32"/>
          <w:highlight w:val="none"/>
          <w:lang w:eastAsia="zh-CN"/>
        </w:rPr>
        <w:t>土地补偿标准为</w:t>
      </w:r>
      <w:r>
        <w:rPr>
          <w:rFonts w:hint="eastAsia" w:ascii="Times New Roman" w:hAnsi="Times New Roman" w:eastAsia="仿宋_GB2312" w:cs="Times New Roman"/>
          <w:color w:val="auto"/>
          <w:kern w:val="2"/>
          <w:sz w:val="32"/>
          <w:szCs w:val="32"/>
          <w:highlight w:val="none"/>
          <w:lang w:val="en-US" w:eastAsia="zh-CN"/>
        </w:rPr>
        <w:t>82.5万元/公顷，安置补助标准为82.5万元/公顷。</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color w:val="auto"/>
          <w:kern w:val="2"/>
          <w:sz w:val="32"/>
          <w:szCs w:val="32"/>
          <w:highlight w:val="none"/>
          <w:lang w:eastAsia="zh-CN"/>
        </w:rPr>
      </w:pPr>
      <w:r>
        <w:rPr>
          <w:rFonts w:hint="default" w:ascii="Times New Roman" w:hAnsi="Times New Roman" w:eastAsia="仿宋_GB2312" w:cs="Times New Roman"/>
          <w:color w:val="auto"/>
          <w:kern w:val="2"/>
          <w:sz w:val="32"/>
          <w:szCs w:val="32"/>
          <w:highlight w:val="none"/>
        </w:rPr>
        <w:t>（二）农村村民住宅补偿</w:t>
      </w:r>
      <w:r>
        <w:rPr>
          <w:rFonts w:hint="default" w:ascii="Times New Roman" w:hAnsi="Times New Roman" w:eastAsia="仿宋_GB2312" w:cs="Times New Roman"/>
          <w:color w:val="auto"/>
          <w:kern w:val="2"/>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color w:val="auto"/>
          <w:kern w:val="2"/>
          <w:sz w:val="32"/>
          <w:szCs w:val="32"/>
          <w:highlight w:val="none"/>
        </w:rPr>
      </w:pPr>
      <w:r>
        <w:rPr>
          <w:rFonts w:hint="eastAsia" w:ascii="Times New Roman" w:hAnsi="Times New Roman" w:eastAsia="仿宋_GB2312" w:cs="Times New Roman"/>
          <w:b w:val="0"/>
          <w:bCs/>
          <w:snapToGrid/>
          <w:color w:val="auto"/>
          <w:spacing w:val="0"/>
          <w:kern w:val="2"/>
          <w:sz w:val="32"/>
          <w:szCs w:val="32"/>
          <w:highlight w:val="none"/>
          <w:lang w:val="en-US" w:eastAsia="zh-CN"/>
        </w:rPr>
        <w:t>本次征地不涉及</w:t>
      </w:r>
      <w:r>
        <w:rPr>
          <w:rFonts w:hint="default" w:ascii="Times New Roman" w:hAnsi="Times New Roman" w:eastAsia="仿宋_GB2312" w:cs="Times New Roman"/>
          <w:color w:val="auto"/>
          <w:kern w:val="2"/>
          <w:sz w:val="32"/>
          <w:szCs w:val="32"/>
          <w:highlight w:val="none"/>
        </w:rPr>
        <w:t>农村村民住宅</w:t>
      </w:r>
      <w:r>
        <w:rPr>
          <w:rFonts w:hint="eastAsia" w:ascii="Times New Roman" w:hAnsi="Times New Roman" w:eastAsia="仿宋_GB2312" w:cs="Times New Roman"/>
          <w:b w:val="0"/>
          <w:bCs/>
          <w:snapToGrid/>
          <w:color w:val="auto"/>
          <w:spacing w:val="0"/>
          <w:kern w:val="2"/>
          <w:sz w:val="32"/>
          <w:szCs w:val="32"/>
          <w:highlight w:val="none"/>
          <w:lang w:val="en-US" w:eastAsia="zh-CN"/>
        </w:rPr>
        <w:t>补偿。</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color w:val="auto"/>
          <w:kern w:val="2"/>
          <w:sz w:val="32"/>
          <w:szCs w:val="32"/>
          <w:highlight w:val="none"/>
          <w:lang w:eastAsia="zh-CN"/>
        </w:rPr>
      </w:pPr>
      <w:r>
        <w:rPr>
          <w:rFonts w:hint="eastAsia" w:ascii="Times New Roman" w:hAnsi="Times New Roman" w:eastAsia="仿宋_GB2312" w:cs="Times New Roman"/>
          <w:color w:val="auto"/>
          <w:kern w:val="2"/>
          <w:sz w:val="32"/>
          <w:szCs w:val="32"/>
          <w:highlight w:val="none"/>
          <w:lang w:val="en-US" w:eastAsia="zh-CN" w:bidi="ar-SA"/>
        </w:rPr>
        <w:t>（三）</w:t>
      </w:r>
      <w:r>
        <w:rPr>
          <w:rFonts w:hint="default" w:ascii="Times New Roman" w:hAnsi="Times New Roman" w:eastAsia="仿宋_GB2312" w:cs="Times New Roman"/>
          <w:color w:val="auto"/>
          <w:kern w:val="2"/>
          <w:sz w:val="32"/>
          <w:szCs w:val="32"/>
          <w:highlight w:val="none"/>
        </w:rPr>
        <w:t>青苗及其他地上附着物补偿</w:t>
      </w:r>
      <w:r>
        <w:rPr>
          <w:rFonts w:hint="default" w:ascii="Times New Roman" w:hAnsi="Times New Roman" w:eastAsia="仿宋_GB2312" w:cs="Times New Roman"/>
          <w:color w:val="auto"/>
          <w:kern w:val="2"/>
          <w:sz w:val="32"/>
          <w:szCs w:val="32"/>
          <w:highlight w:val="none"/>
          <w:lang w:eastAsia="zh-CN"/>
        </w:rPr>
        <w:t>。</w:t>
      </w:r>
    </w:p>
    <w:p>
      <w:pPr>
        <w:pageBreakBefore w:val="0"/>
        <w:numPr>
          <w:ilvl w:val="0"/>
          <w:numId w:val="0"/>
        </w:numPr>
        <w:kinsoku/>
        <w:wordWrap/>
        <w:overflowPunct/>
        <w:topLinePunct w:val="0"/>
        <w:autoSpaceDE/>
        <w:autoSpaceDN/>
        <w:bidi w:val="0"/>
        <w:adjustRightInd/>
        <w:spacing w:after="0" w:line="560" w:lineRule="exact"/>
        <w:ind w:firstLine="634" w:firstLineChars="200"/>
        <w:jc w:val="both"/>
        <w:textAlignment w:val="auto"/>
        <w:rPr>
          <w:rFonts w:hint="default"/>
          <w:color w:val="auto"/>
          <w:kern w:val="2"/>
          <w:highlight w:val="none"/>
        </w:rPr>
      </w:pPr>
      <w:r>
        <w:rPr>
          <w:rFonts w:hint="eastAsia" w:ascii="Times New Roman" w:hAnsi="Times New Roman" w:eastAsia="仿宋_GB2312" w:cs="Times New Roman"/>
          <w:color w:val="auto"/>
          <w:kern w:val="2"/>
          <w:sz w:val="32"/>
          <w:szCs w:val="32"/>
          <w:highlight w:val="none"/>
          <w:lang w:val="en-US" w:eastAsia="zh-CN"/>
        </w:rPr>
        <w:t>青苗补偿及其他地上附着物按照《广州市花都区人民政府关于公布实施广州市花都区征收农村村民住宅、其他地上附着物以及青苗补偿费用标准的公告》（花府规〔2025</w:t>
      </w:r>
      <w:r>
        <w:rPr>
          <w:rFonts w:hint="eastAsia" w:ascii="仿宋_GB2312" w:hAnsi="仿宋_GB2312" w:eastAsia="仿宋_GB2312" w:cs="仿宋_GB2312"/>
          <w:color w:val="auto"/>
          <w:kern w:val="2"/>
          <w:sz w:val="32"/>
          <w:szCs w:val="32"/>
          <w:highlight w:val="none"/>
          <w:lang w:val="en-US" w:eastAsia="zh-CN"/>
        </w:rPr>
        <w:t>〕</w:t>
      </w:r>
      <w:r>
        <w:rPr>
          <w:rFonts w:hint="eastAsia" w:ascii="Times New Roman" w:hAnsi="Times New Roman" w:eastAsia="仿宋_GB2312" w:cs="Times New Roman"/>
          <w:color w:val="auto"/>
          <w:kern w:val="2"/>
          <w:sz w:val="32"/>
          <w:szCs w:val="32"/>
          <w:highlight w:val="none"/>
          <w:lang w:val="en-US" w:eastAsia="zh-CN"/>
        </w:rPr>
        <w:t>3号）</w:t>
      </w:r>
      <w:r>
        <w:rPr>
          <w:rFonts w:hint="eastAsia" w:eastAsia="仿宋_GB2312"/>
          <w:color w:val="auto"/>
          <w:kern w:val="2"/>
          <w:sz w:val="32"/>
          <w:highlight w:val="none"/>
        </w:rPr>
        <w:t>的规定执行</w:t>
      </w:r>
      <w:r>
        <w:rPr>
          <w:rFonts w:hint="eastAsia" w:ascii="Times New Roman" w:hAnsi="Times New Roman" w:eastAsia="仿宋_GB2312" w:cs="Times New Roman"/>
          <w:color w:val="auto"/>
          <w:kern w:val="2"/>
          <w:sz w:val="32"/>
          <w:szCs w:val="32"/>
          <w:highlight w:val="none"/>
          <w:lang w:eastAsia="zh-CN"/>
        </w:rPr>
        <w:t>。</w:t>
      </w:r>
    </w:p>
    <w:p>
      <w:pPr>
        <w:pStyle w:val="6"/>
        <w:keepNext w:val="0"/>
        <w:keepLines w:val="0"/>
        <w:pageBreakBefore w:val="0"/>
        <w:widowControl w:val="0"/>
        <w:kinsoku/>
        <w:wordWrap/>
        <w:overflowPunct/>
        <w:topLinePunct w:val="0"/>
        <w:autoSpaceDE/>
        <w:autoSpaceDN/>
        <w:bidi w:val="0"/>
        <w:adjustRightInd/>
        <w:snapToGrid/>
        <w:spacing w:before="0" w:line="560" w:lineRule="exact"/>
        <w:ind w:left="0" w:right="0" w:firstLine="634"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五、安置对象</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享有农村集体土地承包权的农户，家庭承包的土地被政府依法统一征收的，其征地安置补偿方案制定时属于农村集体经济组织成员且年满16周岁以上的家庭成员，纳入征地社保费补贴对象范围。农村集体经济组织另有规定的，可从其规定。不满16周岁的安置人员不作为被征地农民参加城乡社会</w:t>
      </w:r>
      <w:r>
        <w:rPr>
          <w:rFonts w:hint="eastAsia" w:ascii="Times New Roman" w:hAnsi="Times New Roman" w:eastAsia="仿宋_GB2312" w:cs="Times New Roman"/>
          <w:kern w:val="2"/>
          <w:sz w:val="32"/>
          <w:szCs w:val="32"/>
          <w:lang w:eastAsia="zh-CN"/>
        </w:rPr>
        <w:t>保</w:t>
      </w:r>
      <w:r>
        <w:rPr>
          <w:rFonts w:hint="default" w:ascii="Times New Roman" w:hAnsi="Times New Roman" w:eastAsia="仿宋_GB2312" w:cs="Times New Roman"/>
          <w:kern w:val="2"/>
          <w:sz w:val="32"/>
          <w:szCs w:val="32"/>
        </w:rPr>
        <w:t>障。安置补助费由区人民政府按规定支付给土地所有权人，由农村财务管理部门按照省、市农村集体资产管理相关规定管理和使用。</w:t>
      </w:r>
    </w:p>
    <w:p>
      <w:pPr>
        <w:pStyle w:val="6"/>
        <w:keepNext w:val="0"/>
        <w:keepLines w:val="0"/>
        <w:pageBreakBefore w:val="0"/>
        <w:widowControl w:val="0"/>
        <w:kinsoku/>
        <w:wordWrap/>
        <w:overflowPunct/>
        <w:topLinePunct w:val="0"/>
        <w:autoSpaceDE/>
        <w:autoSpaceDN/>
        <w:bidi w:val="0"/>
        <w:adjustRightInd/>
        <w:snapToGrid/>
        <w:spacing w:before="0" w:line="560" w:lineRule="exact"/>
        <w:ind w:left="0" w:right="0" w:firstLine="634"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六、安置方式和社会保障</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（一）货币安置。所需费用已包含在土地补偿安置费中。</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kern w:val="2"/>
          <w:sz w:val="32"/>
          <w:szCs w:val="32"/>
          <w:lang w:val="en-US" w:eastAsia="zh-CN" w:bidi="ar"/>
        </w:rPr>
      </w:pPr>
      <w:r>
        <w:rPr>
          <w:rFonts w:hint="default" w:ascii="Times New Roman" w:hAnsi="Times New Roman" w:eastAsia="仿宋_GB2312" w:cs="Times New Roman"/>
          <w:kern w:val="2"/>
          <w:sz w:val="32"/>
          <w:szCs w:val="32"/>
        </w:rPr>
        <w:t>（二）留用地安置。</w:t>
      </w:r>
      <w:r>
        <w:rPr>
          <w:rFonts w:hint="default" w:ascii="Times New Roman" w:hAnsi="Times New Roman" w:eastAsia="仿宋_GB2312" w:cs="Times New Roman"/>
          <w:color w:val="auto"/>
          <w:kern w:val="2"/>
          <w:sz w:val="32"/>
          <w:szCs w:val="32"/>
          <w:lang w:val="en-US" w:eastAsia="zh-CN" w:bidi="ar"/>
        </w:rPr>
        <w:t>根据</w:t>
      </w:r>
      <w:r>
        <w:rPr>
          <w:rFonts w:hint="default" w:ascii="Times New Roman" w:hAnsi="Times New Roman" w:eastAsia="仿宋_GB2312" w:cs="Times New Roman"/>
          <w:bCs/>
          <w:color w:val="auto"/>
          <w:kern w:val="2"/>
          <w:sz w:val="32"/>
          <w:szCs w:val="32"/>
          <w:lang w:val="en-US" w:eastAsia="zh-CN" w:bidi="ar"/>
        </w:rPr>
        <w:t>《广东省人民政府办公厅关于加强征收</w:t>
      </w:r>
      <w:r>
        <w:rPr>
          <w:rFonts w:hint="default" w:ascii="Times New Roman" w:hAnsi="Times New Roman" w:eastAsia="仿宋_GB2312" w:cs="Times New Roman"/>
          <w:bCs/>
          <w:color w:val="auto"/>
          <w:kern w:val="2"/>
          <w:sz w:val="32"/>
          <w:szCs w:val="32"/>
          <w:u w:val="none"/>
          <w:lang w:val="en-US" w:eastAsia="zh-CN" w:bidi="ar"/>
        </w:rPr>
        <w:t>农村集体土地留用地安置管理工作的意见》</w:t>
      </w:r>
      <w:r>
        <w:rPr>
          <w:rFonts w:hint="default" w:ascii="Times New Roman" w:hAnsi="Times New Roman" w:eastAsia="仿宋_GB2312" w:cs="Times New Roman"/>
          <w:color w:val="auto"/>
          <w:kern w:val="2"/>
          <w:sz w:val="32"/>
          <w:szCs w:val="32"/>
          <w:u w:val="none"/>
          <w:lang w:val="en-US" w:eastAsia="zh-CN" w:bidi="ar"/>
        </w:rPr>
        <w:t>（粤</w:t>
      </w:r>
      <w:r>
        <w:rPr>
          <w:rFonts w:hint="default" w:ascii="Times New Roman" w:hAnsi="Times New Roman" w:eastAsia="仿宋_GB2312" w:cs="Times New Roman"/>
          <w:bCs/>
          <w:i w:val="0"/>
          <w:iCs w:val="0"/>
          <w:caps w:val="0"/>
          <w:color w:val="auto"/>
          <w:spacing w:val="0"/>
          <w:kern w:val="2"/>
          <w:sz w:val="32"/>
          <w:szCs w:val="32"/>
          <w:u w:val="none"/>
          <w:lang w:val="en-US" w:eastAsia="zh-CN" w:bidi="ar"/>
        </w:rPr>
        <w:t>府办</w:t>
      </w:r>
      <w:r>
        <w:rPr>
          <w:rFonts w:hint="default" w:ascii="Times New Roman" w:hAnsi="Times New Roman" w:eastAsia="仿宋_GB2312" w:cs="Times New Roman"/>
          <w:color w:val="auto"/>
          <w:kern w:val="2"/>
          <w:sz w:val="32"/>
          <w:szCs w:val="32"/>
          <w:u w:val="none"/>
          <w:lang w:val="en-US" w:eastAsia="zh-CN" w:bidi="ar"/>
        </w:rPr>
        <w:t>〔2016〕</w:t>
      </w:r>
      <w:r>
        <w:rPr>
          <w:rFonts w:hint="default" w:ascii="Times New Roman" w:hAnsi="Times New Roman" w:eastAsia="仿宋_GB2312" w:cs="Times New Roman"/>
          <w:bCs/>
          <w:color w:val="auto"/>
          <w:kern w:val="2"/>
          <w:sz w:val="32"/>
          <w:szCs w:val="32"/>
          <w:u w:val="none"/>
          <w:lang w:val="en-US" w:eastAsia="zh-CN" w:bidi="ar"/>
        </w:rPr>
        <w:t>30</w:t>
      </w:r>
      <w:r>
        <w:rPr>
          <w:rFonts w:hint="default" w:ascii="Times New Roman" w:hAnsi="Times New Roman" w:eastAsia="仿宋_GB2312" w:cs="Times New Roman"/>
          <w:color w:val="auto"/>
          <w:kern w:val="2"/>
          <w:sz w:val="32"/>
          <w:szCs w:val="32"/>
          <w:u w:val="none"/>
          <w:lang w:val="en-US" w:eastAsia="zh-CN" w:bidi="ar"/>
        </w:rPr>
        <w:t>号</w:t>
      </w:r>
      <w:r>
        <w:rPr>
          <w:rFonts w:hint="default" w:ascii="Times New Roman" w:hAnsi="Times New Roman" w:eastAsia="仿宋_GB2312" w:cs="Times New Roman"/>
          <w:color w:val="auto"/>
          <w:kern w:val="2"/>
          <w:sz w:val="32"/>
          <w:szCs w:val="32"/>
          <w:highlight w:val="none"/>
          <w:u w:val="none"/>
          <w:lang w:val="en-US" w:eastAsia="zh-CN" w:bidi="ar"/>
        </w:rPr>
        <w:t>）、</w:t>
      </w:r>
      <w:r>
        <w:rPr>
          <w:rFonts w:hint="default" w:ascii="Times New Roman" w:hAnsi="Times New Roman" w:eastAsia="仿宋_GB2312" w:cs="Times New Roman"/>
          <w:color w:val="auto"/>
          <w:kern w:val="2"/>
          <w:sz w:val="32"/>
          <w:szCs w:val="32"/>
          <w:highlight w:val="none"/>
          <w:lang w:val="en-US" w:eastAsia="zh-CN"/>
        </w:rPr>
        <w:t>参照</w:t>
      </w:r>
      <w:r>
        <w:rPr>
          <w:rFonts w:hint="default" w:ascii="Times New Roman" w:hAnsi="Times New Roman" w:eastAsia="仿宋_GB2312" w:cs="Times New Roman"/>
          <w:color w:val="auto"/>
          <w:kern w:val="2"/>
          <w:sz w:val="32"/>
          <w:szCs w:val="32"/>
          <w:highlight w:val="none"/>
        </w:rPr>
        <w:t>《广州市人民政府办公厅关于进一步加强征收农村集体土地留用地管理的意见》</w:t>
      </w:r>
      <w:r>
        <w:rPr>
          <w:rFonts w:hint="default" w:ascii="Times New Roman" w:hAnsi="Times New Roman" w:eastAsia="仿宋_GB2312" w:cs="Times New Roman"/>
          <w:color w:val="auto"/>
          <w:kern w:val="2"/>
          <w:sz w:val="32"/>
          <w:szCs w:val="32"/>
          <w:highlight w:val="none"/>
          <w:lang w:eastAsia="zh-CN"/>
        </w:rPr>
        <w:t>（</w:t>
      </w:r>
      <w:r>
        <w:rPr>
          <w:rFonts w:hint="default" w:ascii="Times New Roman" w:hAnsi="Times New Roman" w:eastAsia="仿宋_GB2312" w:cs="Times New Roman"/>
          <w:color w:val="auto"/>
          <w:kern w:val="2"/>
          <w:sz w:val="32"/>
          <w:szCs w:val="32"/>
          <w:highlight w:val="none"/>
        </w:rPr>
        <w:t>穗府办规〔2018〕17号</w:t>
      </w:r>
      <w:r>
        <w:rPr>
          <w:rFonts w:hint="default" w:ascii="Times New Roman" w:hAnsi="Times New Roman" w:eastAsia="仿宋_GB2312" w:cs="Times New Roman"/>
          <w:color w:val="auto"/>
          <w:kern w:val="2"/>
          <w:sz w:val="32"/>
          <w:szCs w:val="32"/>
          <w:highlight w:val="none"/>
          <w:lang w:eastAsia="zh-CN"/>
        </w:rPr>
        <w:t>）</w:t>
      </w:r>
      <w:r>
        <w:rPr>
          <w:rFonts w:hint="default" w:ascii="Times New Roman" w:hAnsi="Times New Roman" w:eastAsia="仿宋_GB2312" w:cs="Times New Roman"/>
          <w:color w:val="auto"/>
          <w:kern w:val="2"/>
          <w:sz w:val="32"/>
          <w:szCs w:val="32"/>
          <w:highlight w:val="none"/>
          <w:u w:val="none"/>
          <w:lang w:val="en-US" w:eastAsia="zh-CN" w:bidi="ar"/>
        </w:rPr>
        <w:t>的规定，已办理规划用地手续的留用地再次被政府征收的，按原抵扣留用地指标面积等量返还留用地指标，剩余部分按实际征收土地面积的10%安排留用地，按照实地留地方式安排留用地。</w:t>
      </w:r>
    </w:p>
    <w:p>
      <w:pPr>
        <w:keepNext w:val="0"/>
        <w:keepLines w:val="0"/>
        <w:pageBreakBefore w:val="0"/>
        <w:widowControl w:val="0"/>
        <w:tabs>
          <w:tab w:val="left" w:pos="5402"/>
        </w:tabs>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color w:val="auto"/>
          <w:kern w:val="2"/>
          <w:sz w:val="32"/>
          <w:szCs w:val="32"/>
          <w:lang w:val="en-US" w:eastAsia="zh-CN" w:bidi="ar"/>
        </w:rPr>
      </w:pPr>
      <w:r>
        <w:rPr>
          <w:rFonts w:hint="default" w:ascii="Times New Roman" w:hAnsi="Times New Roman" w:eastAsia="仿宋_GB2312" w:cs="Times New Roman"/>
          <w:color w:val="auto"/>
          <w:kern w:val="2"/>
          <w:sz w:val="32"/>
          <w:szCs w:val="32"/>
          <w:lang w:val="en-US" w:eastAsia="zh-CN" w:bidi="ar"/>
        </w:rPr>
        <w:t>（三）社会保障。</w:t>
      </w:r>
      <w:r>
        <w:rPr>
          <w:rFonts w:hint="default" w:ascii="Times New Roman" w:hAnsi="Times New Roman" w:eastAsia="仿宋_GB2312" w:cs="Times New Roman"/>
          <w:color w:val="auto"/>
          <w:kern w:val="2"/>
          <w:sz w:val="32"/>
          <w:szCs w:val="32"/>
          <w:u w:val="none"/>
        </w:rPr>
        <w:t>该项目征收</w:t>
      </w:r>
      <w:r>
        <w:rPr>
          <w:rFonts w:hint="default" w:ascii="Times New Roman" w:hAnsi="Times New Roman" w:eastAsia="仿宋_GB2312" w:cs="Times New Roman"/>
          <w:color w:val="auto"/>
          <w:kern w:val="2"/>
          <w:sz w:val="32"/>
          <w:szCs w:val="32"/>
          <w:u w:val="none"/>
          <w:lang w:val="en-US" w:eastAsia="zh-CN"/>
        </w:rPr>
        <w:t>炭步镇鸭湖</w:t>
      </w:r>
      <w:r>
        <w:rPr>
          <w:rFonts w:hint="default" w:ascii="Times New Roman" w:hAnsi="Times New Roman" w:eastAsia="仿宋_GB2312" w:cs="Times New Roman"/>
          <w:color w:val="auto"/>
          <w:kern w:val="2"/>
          <w:sz w:val="32"/>
          <w:szCs w:val="32"/>
          <w:u w:val="none"/>
        </w:rPr>
        <w:t>村土地面积共</w:t>
      </w:r>
      <w:r>
        <w:rPr>
          <w:rFonts w:hint="default" w:ascii="Times New Roman" w:hAnsi="Times New Roman" w:eastAsia="仿宋_GB2312" w:cs="Times New Roman"/>
          <w:color w:val="auto"/>
          <w:kern w:val="2"/>
          <w:sz w:val="32"/>
          <w:szCs w:val="32"/>
          <w:u w:val="none"/>
          <w:lang w:val="en-US" w:eastAsia="zh-CN"/>
        </w:rPr>
        <w:t>70.7355</w:t>
      </w:r>
      <w:r>
        <w:rPr>
          <w:rFonts w:hint="default" w:ascii="Times New Roman" w:hAnsi="Times New Roman" w:eastAsia="仿宋_GB2312" w:cs="Times New Roman"/>
          <w:color w:val="auto"/>
          <w:kern w:val="2"/>
          <w:sz w:val="32"/>
          <w:szCs w:val="32"/>
          <w:u w:val="none"/>
        </w:rPr>
        <w:t>亩，</w:t>
      </w:r>
      <w:r>
        <w:rPr>
          <w:rFonts w:hint="default" w:ascii="Times New Roman" w:hAnsi="Times New Roman" w:eastAsia="仿宋_GB2312" w:cs="Times New Roman"/>
          <w:color w:val="auto"/>
          <w:kern w:val="2"/>
          <w:sz w:val="32"/>
          <w:szCs w:val="32"/>
          <w:lang w:val="en-US" w:eastAsia="zh-CN" w:bidi="ar"/>
        </w:rPr>
        <w:t>根据《广东省人民政府办公厅转发省人力资源社会保障厅关于进一步完善我省被征地农民养老保障政策意见的通知》（粤府办〔2021〕22号）规定，核定该项目按2.14万元/亩的标准一次性计提征地社保费共151.45万元，预存入区</w:t>
      </w:r>
      <w:r>
        <w:rPr>
          <w:rFonts w:hint="eastAsia" w:cs="Times New Roman"/>
          <w:color w:val="auto"/>
          <w:kern w:val="2"/>
          <w:sz w:val="32"/>
          <w:szCs w:val="32"/>
          <w:lang w:val="en-US" w:eastAsia="zh-CN" w:bidi="ar"/>
        </w:rPr>
        <w:t>“</w:t>
      </w:r>
      <w:r>
        <w:rPr>
          <w:rFonts w:hint="default" w:ascii="Times New Roman" w:hAnsi="Times New Roman" w:eastAsia="仿宋_GB2312" w:cs="Times New Roman"/>
          <w:color w:val="auto"/>
          <w:kern w:val="2"/>
          <w:sz w:val="32"/>
          <w:szCs w:val="32"/>
          <w:lang w:val="en-US" w:eastAsia="zh-CN" w:bidi="ar"/>
        </w:rPr>
        <w:t>收缴被征地农民养老保障资金过渡户</w:t>
      </w:r>
      <w:r>
        <w:rPr>
          <w:rFonts w:hint="eastAsia" w:cs="Times New Roman"/>
          <w:color w:val="auto"/>
          <w:kern w:val="2"/>
          <w:sz w:val="32"/>
          <w:szCs w:val="32"/>
          <w:lang w:val="en-US" w:eastAsia="zh-CN" w:bidi="ar"/>
        </w:rPr>
        <w:t>”</w:t>
      </w:r>
      <w:r>
        <w:rPr>
          <w:rFonts w:hint="default" w:ascii="Times New Roman" w:hAnsi="Times New Roman" w:eastAsia="仿宋_GB2312" w:cs="Times New Roman"/>
          <w:color w:val="auto"/>
          <w:kern w:val="2"/>
          <w:sz w:val="32"/>
          <w:szCs w:val="32"/>
          <w:lang w:val="en-US" w:eastAsia="zh-CN" w:bidi="ar"/>
        </w:rPr>
        <w:t>，</w:t>
      </w:r>
      <w:r>
        <w:rPr>
          <w:rFonts w:hint="default" w:ascii="Times New Roman" w:hAnsi="Times New Roman" w:eastAsia="仿宋_GB2312" w:cs="Times New Roman"/>
          <w:color w:val="auto"/>
          <w:kern w:val="2"/>
          <w:sz w:val="32"/>
          <w:szCs w:val="32"/>
          <w:u w:val="none"/>
          <w:lang w:val="en-US" w:eastAsia="zh-CN" w:bidi="ar"/>
        </w:rPr>
        <w:t>专款用于被征地农民养老保障</w:t>
      </w:r>
      <w:r>
        <w:rPr>
          <w:rFonts w:hint="default" w:ascii="Times New Roman" w:hAnsi="Times New Roman" w:eastAsia="仿宋_GB2312" w:cs="Times New Roman"/>
          <w:color w:val="auto"/>
          <w:kern w:val="2"/>
          <w:sz w:val="32"/>
          <w:szCs w:val="32"/>
          <w:lang w:val="en-US" w:eastAsia="zh-CN" w:bidi="ar"/>
        </w:rPr>
        <w:t>。</w:t>
      </w:r>
    </w:p>
    <w:p>
      <w:pPr>
        <w:pStyle w:val="6"/>
        <w:widowControl w:val="0"/>
        <w:numPr>
          <w:ilvl w:val="0"/>
          <w:numId w:val="0"/>
        </w:numPr>
        <w:spacing w:before="0" w:after="0" w:line="560" w:lineRule="exact"/>
        <w:ind w:right="111" w:rightChars="0"/>
        <w:jc w:val="both"/>
        <w:rPr>
          <w:rFonts w:hint="eastAsia" w:ascii="仿宋_GB2312" w:hAnsi="仿宋_GB2312" w:eastAsia="仿宋_GB2312" w:cs="仿宋_GB2312"/>
          <w:kern w:val="2"/>
          <w:sz w:val="32"/>
          <w:szCs w:val="32"/>
        </w:rPr>
      </w:pPr>
    </w:p>
    <w:p>
      <w:pPr>
        <w:pStyle w:val="6"/>
        <w:spacing w:before="0" w:line="560" w:lineRule="exact"/>
        <w:ind w:left="0" w:right="260"/>
        <w:jc w:val="right"/>
        <w:rPr>
          <w:rFonts w:hint="eastAsia" w:ascii="仿宋_GB2312" w:hAnsi="仿宋_GB2312" w:eastAsia="仿宋_GB2312" w:cs="仿宋_GB2312"/>
          <w:kern w:val="2"/>
          <w:sz w:val="32"/>
          <w:szCs w:val="32"/>
        </w:rPr>
      </w:pPr>
    </w:p>
    <w:p>
      <w:pPr>
        <w:pStyle w:val="6"/>
        <w:spacing w:before="0" w:line="560" w:lineRule="exact"/>
        <w:ind w:left="0" w:right="260"/>
        <w:jc w:val="right"/>
        <w:rPr>
          <w:rFonts w:hint="eastAsia" w:ascii="仿宋_GB2312" w:hAnsi="仿宋_GB2312" w:eastAsia="仿宋_GB2312" w:cs="仿宋_GB2312"/>
          <w:kern w:val="2"/>
          <w:sz w:val="32"/>
          <w:szCs w:val="32"/>
        </w:rPr>
      </w:pPr>
    </w:p>
    <w:p>
      <w:pPr>
        <w:pStyle w:val="6"/>
        <w:spacing w:before="0" w:line="560" w:lineRule="exact"/>
        <w:ind w:left="0" w:right="260"/>
        <w:jc w:val="right"/>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广州市</w:t>
      </w:r>
      <w:r>
        <w:rPr>
          <w:rFonts w:hint="eastAsia" w:ascii="仿宋_GB2312" w:hAnsi="仿宋_GB2312" w:eastAsia="仿宋_GB2312" w:cs="仿宋_GB2312"/>
          <w:kern w:val="2"/>
          <w:sz w:val="32"/>
          <w:szCs w:val="32"/>
          <w:lang w:eastAsia="zh-CN"/>
        </w:rPr>
        <w:t>规划和自然资源局花都区分局</w:t>
      </w:r>
    </w:p>
    <w:p>
      <w:pPr>
        <w:pStyle w:val="6"/>
        <w:spacing w:before="0" w:line="560" w:lineRule="exact"/>
        <w:ind w:left="0" w:right="260"/>
        <w:jc w:val="center"/>
        <w:rPr>
          <w:rFonts w:hint="default"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lang w:val="en-US" w:eastAsia="zh-CN"/>
        </w:rPr>
        <w:t xml:space="preserve">                                                </w:t>
      </w:r>
      <w:r>
        <w:rPr>
          <w:rFonts w:hint="default" w:ascii="Times New Roman" w:hAnsi="Times New Roman" w:eastAsia="仿宋_GB2312" w:cs="Times New Roman"/>
          <w:kern w:val="2"/>
          <w:sz w:val="32"/>
          <w:szCs w:val="32"/>
          <w:lang w:val="en-US" w:eastAsia="zh-CN"/>
        </w:rPr>
        <w:t>202</w:t>
      </w:r>
      <w:r>
        <w:rPr>
          <w:rFonts w:hint="eastAsia" w:ascii="Times New Roman" w:hAnsi="Times New Roman" w:eastAsia="仿宋_GB2312" w:cs="Times New Roman"/>
          <w:kern w:val="2"/>
          <w:sz w:val="32"/>
          <w:szCs w:val="32"/>
          <w:lang w:val="en-US" w:eastAsia="zh-CN"/>
        </w:rPr>
        <w:t>6</w:t>
      </w:r>
      <w:r>
        <w:rPr>
          <w:rFonts w:hint="default" w:ascii="Times New Roman" w:hAnsi="Times New Roman" w:eastAsia="仿宋_GB2312" w:cs="Times New Roman"/>
          <w:kern w:val="2"/>
          <w:sz w:val="32"/>
          <w:szCs w:val="32"/>
        </w:rPr>
        <w:t>年</w:t>
      </w:r>
      <w:r>
        <w:rPr>
          <w:rFonts w:hint="eastAsia" w:ascii="Times New Roman" w:hAnsi="Times New Roman" w:eastAsia="仿宋_GB2312" w:cs="Times New Roman"/>
          <w:kern w:val="2"/>
          <w:sz w:val="32"/>
          <w:szCs w:val="32"/>
          <w:lang w:val="en-US" w:eastAsia="zh-CN"/>
        </w:rPr>
        <w:t>10</w:t>
      </w:r>
      <w:r>
        <w:rPr>
          <w:rFonts w:hint="default" w:ascii="Times New Roman" w:hAnsi="Times New Roman" w:eastAsia="仿宋_GB2312" w:cs="Times New Roman"/>
          <w:kern w:val="2"/>
          <w:sz w:val="32"/>
          <w:szCs w:val="32"/>
        </w:rPr>
        <w:t>月</w:t>
      </w:r>
      <w:r>
        <w:rPr>
          <w:rFonts w:hint="eastAsia" w:ascii="Times New Roman" w:hAnsi="Times New Roman" w:eastAsia="仿宋_GB2312" w:cs="Times New Roman"/>
          <w:spacing w:val="0"/>
          <w:kern w:val="2"/>
          <w:sz w:val="32"/>
          <w:szCs w:val="32"/>
          <w:lang w:val="en-US" w:eastAsia="zh-CN"/>
        </w:rPr>
        <w:t>23</w:t>
      </w:r>
      <w:r>
        <w:rPr>
          <w:rFonts w:hint="default" w:ascii="Times New Roman" w:hAnsi="Times New Roman" w:eastAsia="仿宋_GB2312" w:cs="Times New Roman"/>
          <w:kern w:val="2"/>
          <w:sz w:val="32"/>
          <w:szCs w:val="32"/>
        </w:rPr>
        <w:t>日</w:t>
      </w:r>
    </w:p>
    <w:sectPr>
      <w:footerReference r:id="rId5" w:type="default"/>
      <w:pgSz w:w="11910" w:h="16840"/>
      <w:pgMar w:top="2098" w:right="1474" w:bottom="1984" w:left="1587" w:header="0" w:footer="1587" w:gutter="0"/>
      <w:cols w:space="0" w:num="1"/>
      <w:rtlGutter w:val="0"/>
      <w:docGrid w:type="linesAndChars" w:linePitch="579" w:charSpace="-8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Adobe 黑体 Std R">
    <w:altName w:val="黑体"/>
    <w:panose1 w:val="020B0400000000000000"/>
    <w:charset w:val="80"/>
    <w:family w:val="swiss"/>
    <w:pitch w:val="default"/>
    <w:sig w:usb0="00000000" w:usb1="00000000" w:usb2="00000016" w:usb3="00000000" w:csb0="00060007"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0" w:after="0" w:line="14" w:lineRule="auto"/>
      <w:rPr>
        <w:sz w:val="20"/>
        <w:szCs w:val="20"/>
      </w:rPr>
    </w:pPr>
    <w:r>
      <w:pict>
        <v:shape id="_x0000_s4097" o:spid="_x0000_s4097" o:spt="202" type="#_x0000_t202" style="position:absolute;left:0pt;margin-left:291pt;margin-top:782.35pt;height:11pt;width:13.15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pPr>
                  <w:spacing w:before="0" w:line="203" w:lineRule="exact"/>
                  <w:ind w:left="40" w:right="0" w:firstLine="0"/>
                  <w:jc w:val="left"/>
                  <w:rPr>
                    <w:rFonts w:ascii="Calibri" w:hAnsi="Calibri" w:eastAsia="Calibri" w:cs="Calibri"/>
                    <w:sz w:val="18"/>
                    <w:szCs w:val="18"/>
                  </w:rPr>
                </w:pP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720"/>
  <w:drawingGridHorizontalSpacing w:val="158"/>
  <w:drawingGridVerticalSpacing w:val="290"/>
  <w:displayHorizontalDrawingGridEvery w:val="2"/>
  <w:displayVerticalDrawingGridEvery w:val="2"/>
  <w:noPunctuationKerning w:val="1"/>
  <w:characterSpacingControl w:val="doNotCompress"/>
  <w:hdrShapeDefaults>
    <o:shapelayout v:ext="edit">
      <o:idmap v:ext="edit" data="3,4"/>
    </o:shapelayout>
  </w:hdrShapeDefaults>
  <w:footnotePr>
    <w:footnote w:id="0"/>
    <w:footnote w:id="1"/>
  </w:footnotePr>
  <w:endnotePr>
    <w:endnote w:id="0"/>
    <w:endnote w:id="1"/>
  </w:endnotePr>
  <w:compat>
    <w:ulTrailSpace/>
    <w:doNotExpandShiftReturn/>
    <w:doNotWrapTextWithPunct/>
    <w:doNotUseEastAsianBreakRules/>
    <w:useFELayout/>
    <w:doNotUseIndentAsNumberingTabStop/>
    <w:compatSetting w:name="compatibilityMode" w:uri="http://schemas.microsoft.com/office/word" w:val="12"/>
  </w:compat>
  <w:rsids>
    <w:rsidRoot w:val="00000000"/>
    <w:rsid w:val="022A33E1"/>
    <w:rsid w:val="036D5F4D"/>
    <w:rsid w:val="03ED4F45"/>
    <w:rsid w:val="04654DC4"/>
    <w:rsid w:val="04787C5D"/>
    <w:rsid w:val="0822151D"/>
    <w:rsid w:val="08682950"/>
    <w:rsid w:val="08D15B8E"/>
    <w:rsid w:val="08D87341"/>
    <w:rsid w:val="0BC12118"/>
    <w:rsid w:val="0C7451AE"/>
    <w:rsid w:val="0C890300"/>
    <w:rsid w:val="0D5A4B28"/>
    <w:rsid w:val="0D630F89"/>
    <w:rsid w:val="116752E1"/>
    <w:rsid w:val="14C01613"/>
    <w:rsid w:val="161B7A15"/>
    <w:rsid w:val="162B00EE"/>
    <w:rsid w:val="16E50DE0"/>
    <w:rsid w:val="172F1599"/>
    <w:rsid w:val="19977D8A"/>
    <w:rsid w:val="20EB3754"/>
    <w:rsid w:val="21020B82"/>
    <w:rsid w:val="219E39B8"/>
    <w:rsid w:val="22D2133E"/>
    <w:rsid w:val="23CD5478"/>
    <w:rsid w:val="25173237"/>
    <w:rsid w:val="25477C36"/>
    <w:rsid w:val="267F244D"/>
    <w:rsid w:val="29C73F17"/>
    <w:rsid w:val="2BE439BC"/>
    <w:rsid w:val="2C155C0E"/>
    <w:rsid w:val="2DF87595"/>
    <w:rsid w:val="2EC22C1E"/>
    <w:rsid w:val="2F2F33BB"/>
    <w:rsid w:val="30F74B66"/>
    <w:rsid w:val="3187156E"/>
    <w:rsid w:val="33085EB0"/>
    <w:rsid w:val="33946D2B"/>
    <w:rsid w:val="34394804"/>
    <w:rsid w:val="34CC172C"/>
    <w:rsid w:val="34F973AF"/>
    <w:rsid w:val="35441312"/>
    <w:rsid w:val="39903319"/>
    <w:rsid w:val="39A42B0C"/>
    <w:rsid w:val="3B7F12F6"/>
    <w:rsid w:val="3B8E0546"/>
    <w:rsid w:val="3D4536F5"/>
    <w:rsid w:val="3F8571D3"/>
    <w:rsid w:val="40A315E2"/>
    <w:rsid w:val="40AD4EC0"/>
    <w:rsid w:val="42980EEF"/>
    <w:rsid w:val="44DF4BB3"/>
    <w:rsid w:val="46753A21"/>
    <w:rsid w:val="47EA5951"/>
    <w:rsid w:val="4813353E"/>
    <w:rsid w:val="4D1F0243"/>
    <w:rsid w:val="4FDC68BF"/>
    <w:rsid w:val="50186B3E"/>
    <w:rsid w:val="505F6CEB"/>
    <w:rsid w:val="54382FF3"/>
    <w:rsid w:val="54E02594"/>
    <w:rsid w:val="5EF369C2"/>
    <w:rsid w:val="5F7D217A"/>
    <w:rsid w:val="5F7D66C9"/>
    <w:rsid w:val="60ED7905"/>
    <w:rsid w:val="628E5554"/>
    <w:rsid w:val="63714235"/>
    <w:rsid w:val="647E7AED"/>
    <w:rsid w:val="6488303F"/>
    <w:rsid w:val="64AC6408"/>
    <w:rsid w:val="64ED2421"/>
    <w:rsid w:val="65AE61B0"/>
    <w:rsid w:val="664B18ED"/>
    <w:rsid w:val="671A7149"/>
    <w:rsid w:val="681C38A5"/>
    <w:rsid w:val="6A0448E5"/>
    <w:rsid w:val="6C7651BB"/>
    <w:rsid w:val="6CF0181B"/>
    <w:rsid w:val="6DB30687"/>
    <w:rsid w:val="6F8C3791"/>
    <w:rsid w:val="6F9054D1"/>
    <w:rsid w:val="708E5910"/>
    <w:rsid w:val="70981F36"/>
    <w:rsid w:val="747B57C1"/>
    <w:rsid w:val="75B44CF4"/>
    <w:rsid w:val="768B3F84"/>
    <w:rsid w:val="76910A96"/>
    <w:rsid w:val="77560455"/>
    <w:rsid w:val="78EA6370"/>
    <w:rsid w:val="7D5135A2"/>
    <w:rsid w:val="7E1D286D"/>
    <w:rsid w:val="7F325F7A"/>
    <w:rsid w:val="B75F5E5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spacing w:after="0" w:line="240" w:lineRule="auto"/>
    </w:pPr>
    <w:rPr>
      <w:rFonts w:ascii="Times New Roman" w:hAnsi="Times New Roman" w:eastAsia="仿宋_GB2312" w:cstheme="minorBidi"/>
      <w:sz w:val="32"/>
      <w:szCs w:val="32"/>
      <w:lang w:val="en-US" w:eastAsia="en-US"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widowControl w:val="0"/>
      <w:spacing w:before="260" w:beforeLines="0" w:beforeAutospacing="0" w:after="260" w:afterLines="0" w:afterAutospacing="0" w:line="413" w:lineRule="auto"/>
      <w:jc w:val="both"/>
      <w:outlineLvl w:val="1"/>
    </w:pPr>
    <w:rPr>
      <w:rFonts w:ascii="Arial" w:hAnsi="Arial" w:eastAsia="黑体" w:cstheme="minorBidi"/>
      <w:b/>
      <w:kern w:val="2"/>
      <w:sz w:val="32"/>
      <w:szCs w:val="24"/>
      <w:lang w:val="en-US" w:eastAsia="zh-CN" w:bidi="ar-SA"/>
    </w:rPr>
  </w:style>
  <w:style w:type="character" w:default="1" w:styleId="9">
    <w:name w:val="Default Paragraph Font"/>
    <w:semiHidden/>
    <w:unhideWhenUsed/>
    <w:qFormat/>
    <w:uiPriority w:val="1"/>
  </w:style>
  <w:style w:type="table" w:default="1" w:styleId="8">
    <w:name w:val="Normal Table"/>
    <w:semiHidden/>
    <w:qFormat/>
    <w:uiPriority w:val="0"/>
    <w:tblPr>
      <w:tblCellMar>
        <w:top w:w="0" w:type="dxa"/>
        <w:left w:w="108" w:type="dxa"/>
        <w:bottom w:w="0" w:type="dxa"/>
        <w:right w:w="108" w:type="dxa"/>
      </w:tblCellMar>
    </w:tblPr>
  </w:style>
  <w:style w:type="paragraph" w:styleId="4">
    <w:name w:val="Normal Indent"/>
    <w:basedOn w:val="1"/>
    <w:unhideWhenUsed/>
    <w:qFormat/>
    <w:uiPriority w:val="99"/>
    <w:pPr>
      <w:widowControl w:val="0"/>
      <w:ind w:firstLine="420" w:firstLineChars="200"/>
    </w:pPr>
    <w:rPr>
      <w:sz w:val="24"/>
    </w:rPr>
  </w:style>
  <w:style w:type="paragraph" w:styleId="5">
    <w:name w:val="annotation text"/>
    <w:basedOn w:val="1"/>
    <w:qFormat/>
    <w:uiPriority w:val="0"/>
    <w:pPr>
      <w:jc w:val="left"/>
    </w:pPr>
  </w:style>
  <w:style w:type="paragraph" w:styleId="6">
    <w:name w:val="Body Text"/>
    <w:basedOn w:val="1"/>
    <w:qFormat/>
    <w:uiPriority w:val="1"/>
    <w:pPr>
      <w:spacing w:before="35"/>
      <w:ind w:left="760"/>
    </w:pPr>
    <w:rPr>
      <w:rFonts w:ascii="Adobe 黑体 Std R" w:hAnsi="Adobe 黑体 Std R" w:eastAsia="Adobe 黑体 Std R"/>
      <w:sz w:val="32"/>
      <w:szCs w:val="32"/>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10">
    <w:name w:val="Table Normal"/>
    <w:semiHidden/>
    <w:unhideWhenUsed/>
    <w:qFormat/>
    <w:uiPriority w:val="2"/>
    <w:tblPr>
      <w:tblCellMar>
        <w:top w:w="0" w:type="dxa"/>
        <w:left w:w="0" w:type="dxa"/>
        <w:bottom w:w="0" w:type="dxa"/>
        <w:right w:w="0" w:type="dxa"/>
      </w:tblCellMar>
    </w:tblPr>
  </w:style>
  <w:style w:type="paragraph" w:styleId="11">
    <w:name w:val="List Paragraph"/>
    <w:basedOn w:val="1"/>
    <w:qFormat/>
    <w:uiPriority w:val="1"/>
  </w:style>
  <w:style w:type="paragraph" w:customStyle="1" w:styleId="12">
    <w:name w:val="Table Paragraph"/>
    <w:basedOn w:val="1"/>
    <w:qFormat/>
    <w:uiPriority w:val="1"/>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Pages>
  <Words>1748</Words>
  <Characters>1846</Characters>
  <TotalTime>26</TotalTime>
  <ScaleCrop>false</ScaleCrop>
  <LinksUpToDate>false</LinksUpToDate>
  <CharactersWithSpaces>1898</CharactersWithSpaces>
  <Application>WPS Office WWO_wpscloud_20230920110637-dec0f19faa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2023-04-27T00:01:00Z</dcterms:created>
  <dc:creator>Admin</dc:creator>
  <cp:lastModifiedBy>cwt</cp:lastModifiedBy>
  <cp:lastPrinted>2024-12-02T16:00:00Z</cp:lastPrinted>
  <dcterms:modified xsi:type="dcterms:W3CDTF">2026-10-27T16:51:58Z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2023-04-26T00:00:00Z</vt:filetime>
  </property>
  <property fmtid="{D5CDD505-2E9C-101B-9397-08002B2CF9AE}" pid="3" name="Creator">
    <vt:lpwstr>WPS 文字</vt:lpwstr>
  </property>
  <property fmtid="{D5CDD505-2E9C-101B-9397-08002B2CF9AE}" pid="4" name="LastSaved">
    <vt:filetime>2023-04-26T00:00:00Z</vt:filetime>
  </property>
  <property fmtid="{D5CDD505-2E9C-101B-9397-08002B2CF9AE}" pid="5" name="KSOProductBuildVer">
    <vt:lpwstr>2052-0.0.0.0</vt:lpwstr>
  </property>
  <property fmtid="{D5CDD505-2E9C-101B-9397-08002B2CF9AE}" pid="6" name="ICV">
    <vt:lpwstr>4DFBAE58533245A6A3E6FCA55C54D6E1</vt:lpwstr>
  </property>
  <property fmtid="{D5CDD505-2E9C-101B-9397-08002B2CF9AE}" pid="7" name="KSOTemplateDocerSaveRecord">
    <vt:lpwstr>eyJoZGlkIjoiODJhMjdmODJjY2ZiYmFjZDczMTBhNTlmN2MwYjM5OGYiLCJ1c2VySWQiOiIxODkxNjYyODI3In0=</vt:lpwstr>
  </property>
</Properties>
</file>