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50B84">
      <w:pPr>
        <w:spacing w:line="560" w:lineRule="exact"/>
        <w:jc w:val="right"/>
        <w:rPr>
          <w:rFonts w:hint="eastAsia" w:ascii="方正小标宋_GBK" w:hAnsi="方正小标宋_GBK" w:eastAsia="方正小标宋_GBK" w:cs="方正小标宋_GBK"/>
          <w:bCs/>
          <w:color w:val="auto"/>
          <w:sz w:val="44"/>
          <w:szCs w:val="44"/>
        </w:rPr>
      </w:pPr>
      <w:bookmarkStart w:id="0" w:name="_GoBack"/>
      <w:bookmarkEnd w:id="0"/>
      <w:r>
        <w:rPr>
          <w:rFonts w:hint="default" w:ascii="Times New Roman" w:hAnsi="Times New Roman" w:eastAsia="仿宋_GB2312" w:cs="Times New Roman"/>
          <w:sz w:val="32"/>
          <w:szCs w:val="32"/>
          <w:highlight w:val="none"/>
          <w:lang w:val="en-US" w:eastAsia="zh-CN"/>
        </w:rPr>
        <w:t>粤府土审（02）〔202</w:t>
      </w:r>
      <w:r>
        <w:rPr>
          <w:rFonts w:hint="eastAsia"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247</w:t>
      </w:r>
      <w:r>
        <w:rPr>
          <w:rFonts w:hint="default" w:ascii="Times New Roman" w:hAnsi="Times New Roman" w:eastAsia="仿宋_GB2312" w:cs="Times New Roman"/>
          <w:sz w:val="32"/>
          <w:szCs w:val="32"/>
          <w:highlight w:val="none"/>
          <w:lang w:val="en-US" w:eastAsia="zh-CN"/>
        </w:rPr>
        <w:t>号</w:t>
      </w:r>
    </w:p>
    <w:p w14:paraId="0E009EA9">
      <w:pPr>
        <w:spacing w:line="560" w:lineRule="exact"/>
        <w:jc w:val="center"/>
        <w:rPr>
          <w:rFonts w:hint="eastAsia" w:ascii="方正小标宋_GBK" w:hAnsi="方正小标宋_GBK" w:eastAsia="方正小标宋_GBK" w:cs="方正小标宋_GBK"/>
          <w:bCs/>
          <w:color w:val="auto"/>
          <w:sz w:val="44"/>
          <w:szCs w:val="44"/>
        </w:rPr>
      </w:pPr>
    </w:p>
    <w:p w14:paraId="520522FA">
      <w:pPr>
        <w:spacing w:line="560" w:lineRule="exact"/>
        <w:jc w:val="center"/>
        <w:rPr>
          <w:rFonts w:hint="eastAsia" w:ascii="方正小标宋_GBK" w:hAnsi="方正小标宋_GBK" w:eastAsia="方正小标宋_GBK" w:cs="方正小标宋_GBK"/>
          <w:bCs/>
          <w:color w:val="auto"/>
          <w:sz w:val="44"/>
          <w:szCs w:val="44"/>
        </w:rPr>
      </w:pPr>
      <w:r>
        <w:rPr>
          <w:rFonts w:hint="eastAsia" w:ascii="方正小标宋_GBK" w:hAnsi="方正小标宋_GBK" w:eastAsia="方正小标宋_GBK" w:cs="方正小标宋_GBK"/>
          <w:bCs/>
          <w:color w:val="auto"/>
          <w:sz w:val="44"/>
          <w:szCs w:val="44"/>
        </w:rPr>
        <w:t>广东省人民政府关于广州市</w:t>
      </w:r>
      <w:r>
        <w:rPr>
          <w:rFonts w:hint="eastAsia" w:ascii="方正小标宋_GBK" w:hAnsi="方正小标宋_GBK" w:eastAsia="方正小标宋_GBK" w:cs="方正小标宋_GBK"/>
          <w:bCs/>
          <w:color w:val="auto"/>
          <w:sz w:val="44"/>
          <w:szCs w:val="44"/>
          <w:lang w:eastAsia="zh-CN"/>
        </w:rPr>
        <w:t>花都</w:t>
      </w:r>
      <w:r>
        <w:rPr>
          <w:rFonts w:hint="eastAsia" w:ascii="方正小标宋_GBK" w:hAnsi="方正小标宋_GBK" w:eastAsia="方正小标宋_GBK" w:cs="方正小标宋_GBK"/>
          <w:bCs/>
          <w:color w:val="auto"/>
          <w:sz w:val="44"/>
          <w:szCs w:val="44"/>
        </w:rPr>
        <w:t>区20</w:t>
      </w:r>
      <w:r>
        <w:rPr>
          <w:rFonts w:hint="eastAsia" w:ascii="方正小标宋_GBK" w:hAnsi="方正小标宋_GBK" w:eastAsia="方正小标宋_GBK" w:cs="方正小标宋_GBK"/>
          <w:bCs/>
          <w:color w:val="auto"/>
          <w:sz w:val="44"/>
          <w:szCs w:val="44"/>
          <w:lang w:val="en-US" w:eastAsia="zh-CN"/>
        </w:rPr>
        <w:t>26</w:t>
      </w:r>
      <w:r>
        <w:rPr>
          <w:rFonts w:hint="eastAsia" w:ascii="方正小标宋_GBK" w:hAnsi="方正小标宋_GBK" w:eastAsia="方正小标宋_GBK" w:cs="方正小标宋_GBK"/>
          <w:bCs/>
          <w:color w:val="auto"/>
          <w:sz w:val="44"/>
          <w:szCs w:val="44"/>
        </w:rPr>
        <w:t>年度</w:t>
      </w:r>
    </w:p>
    <w:p w14:paraId="4CF20779">
      <w:pPr>
        <w:spacing w:line="560" w:lineRule="exact"/>
        <w:jc w:val="center"/>
        <w:rPr>
          <w:rFonts w:hint="eastAsia" w:ascii="方正小标宋_GBK" w:hAnsi="方正小标宋_GBK" w:eastAsia="方正小标宋_GBK" w:cs="方正小标宋_GBK"/>
          <w:bCs/>
          <w:color w:val="auto"/>
          <w:sz w:val="44"/>
          <w:szCs w:val="44"/>
          <w:u w:val="none"/>
        </w:rPr>
      </w:pPr>
      <w:r>
        <w:rPr>
          <w:rFonts w:hint="eastAsia" w:ascii="方正小标宋_GBK" w:hAnsi="方正小标宋_GBK" w:eastAsia="方正小标宋_GBK" w:cs="方正小标宋_GBK"/>
          <w:bCs/>
          <w:color w:val="auto"/>
          <w:sz w:val="44"/>
          <w:szCs w:val="44"/>
        </w:rPr>
        <w:t>第</w:t>
      </w:r>
      <w:r>
        <w:rPr>
          <w:rFonts w:hint="eastAsia" w:ascii="方正小标宋_GBK" w:hAnsi="方正小标宋_GBK" w:eastAsia="方正小标宋_GBK" w:cs="方正小标宋_GBK"/>
          <w:bCs/>
          <w:color w:val="auto"/>
          <w:sz w:val="44"/>
          <w:szCs w:val="44"/>
          <w:lang w:val="en-US" w:eastAsia="zh-CN"/>
        </w:rPr>
        <w:t>十一</w:t>
      </w:r>
      <w:r>
        <w:rPr>
          <w:rFonts w:hint="eastAsia" w:ascii="方正小标宋_GBK" w:hAnsi="方正小标宋_GBK" w:eastAsia="方正小标宋_GBK" w:cs="方正小标宋_GBK"/>
          <w:bCs/>
          <w:color w:val="auto"/>
          <w:sz w:val="44"/>
          <w:szCs w:val="44"/>
        </w:rPr>
        <w:t>批次城镇建设用地</w:t>
      </w:r>
      <w:r>
        <w:rPr>
          <w:rFonts w:hint="eastAsia" w:ascii="方正小标宋_GBK" w:hAnsi="方正小标宋_GBK" w:eastAsia="方正小标宋_GBK" w:cs="方正小标宋_GBK"/>
          <w:bCs/>
          <w:color w:val="auto"/>
          <w:sz w:val="44"/>
          <w:szCs w:val="44"/>
          <w:u w:val="none"/>
        </w:rPr>
        <w:t>的批复</w:t>
      </w:r>
    </w:p>
    <w:p w14:paraId="2BCEE0F8">
      <w:pPr>
        <w:widowControl/>
        <w:spacing w:line="600" w:lineRule="exact"/>
        <w:jc w:val="center"/>
        <w:textAlignment w:val="baseline"/>
        <w:rPr>
          <w:rFonts w:hint="eastAsia"/>
          <w:b/>
          <w:color w:val="auto"/>
          <w:sz w:val="32"/>
          <w:szCs w:val="32"/>
          <w:u w:val="none"/>
        </w:rPr>
      </w:pPr>
    </w:p>
    <w:p w14:paraId="61FB12F2">
      <w:pPr>
        <w:widowControl/>
        <w:spacing w:line="560" w:lineRule="exact"/>
        <w:jc w:val="left"/>
        <w:textAlignment w:val="baseline"/>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广州市人民政府：</w:t>
      </w:r>
    </w:p>
    <w:p w14:paraId="5C025D59">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你市关于申请广州市花都区2026年度第十一批次城镇建设用地土地征收的请示收悉，现批复如下：</w:t>
      </w:r>
    </w:p>
    <w:p w14:paraId="3DC3FC7D">
      <w:pPr>
        <w:pStyle w:val="6"/>
        <w:keepNext w:val="0"/>
        <w:keepLines w:val="0"/>
        <w:pageBreakBefore w:val="0"/>
        <w:widowControl w:val="0"/>
        <w:numPr>
          <w:ilvl w:val="0"/>
          <w:numId w:val="1"/>
        </w:numPr>
        <w:kinsoku/>
        <w:wordWrap/>
        <w:overflowPunct/>
        <w:topLinePunct w:val="0"/>
        <w:autoSpaceDE w:val="0"/>
        <w:autoSpaceDN w:val="0"/>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同意使用</w:t>
      </w:r>
      <w:r>
        <w:rPr>
          <w:rFonts w:hint="eastAsia" w:eastAsia="仿宋_GB2312" w:cs="Times New Roman"/>
          <w:color w:val="auto"/>
          <w:kern w:val="2"/>
          <w:sz w:val="32"/>
          <w:szCs w:val="32"/>
          <w:highlight w:val="none"/>
          <w:u w:val="none"/>
          <w:lang w:val="en-US" w:eastAsia="zh-CN" w:bidi="ar-SA"/>
        </w:rPr>
        <w:t>0.2748</w:t>
      </w:r>
      <w:r>
        <w:rPr>
          <w:rFonts w:hint="eastAsia" w:ascii="Times New Roman" w:hAnsi="Times New Roman" w:eastAsia="仿宋_GB2312" w:cs="Times New Roman"/>
          <w:color w:val="auto"/>
          <w:kern w:val="2"/>
          <w:sz w:val="32"/>
          <w:szCs w:val="32"/>
          <w:highlight w:val="none"/>
          <w:u w:val="none"/>
          <w:lang w:val="en-US" w:eastAsia="zh-CN" w:bidi="ar-SA"/>
        </w:rPr>
        <w:t>公顷城镇建设用地，即同意你市将</w:t>
      </w:r>
      <w:r>
        <w:rPr>
          <w:rFonts w:hint="eastAsia" w:eastAsia="仿宋_GB2312" w:cs="Times New Roman"/>
          <w:color w:val="auto"/>
          <w:kern w:val="2"/>
          <w:sz w:val="32"/>
          <w:szCs w:val="32"/>
          <w:highlight w:val="none"/>
          <w:u w:val="none"/>
          <w:lang w:val="en-US" w:eastAsia="zh-CN" w:bidi="ar-SA"/>
        </w:rPr>
        <w:t>花都区花城街杨一村集体经济组织，杨一村中一组集体经济组织，杨一村中二组集体经济组织，杨一村五一组集体经济组织，杨一村塘贝组集体经济组织属下的集体农用地0.2591公顷（其中耕地0.2591公顷）转为建设用地，同时使用上述有关村集体建设用地0.0157公顷，以上合计0.2748公顷集体土地一并办理征地手续。上述批准建设用地0.2748公顷由当地人民政府依法依规供应。</w:t>
      </w:r>
    </w:p>
    <w:p w14:paraId="7B66F1B8">
      <w:pPr>
        <w:keepNext w:val="0"/>
        <w:keepLines w:val="0"/>
        <w:pageBreakBefore w:val="0"/>
        <w:widowControl/>
        <w:numPr>
          <w:ilvl w:val="0"/>
          <w:numId w:val="1"/>
        </w:numPr>
        <w:kinsoku/>
        <w:wordWrap/>
        <w:overflowPunct/>
        <w:topLinePunct w:val="0"/>
        <w:bidi w:val="0"/>
        <w:adjustRightInd/>
        <w:snapToGrid/>
        <w:spacing w:line="560" w:lineRule="exact"/>
        <w:ind w:left="0" w:leftChars="0" w:firstLine="632" w:firstLineChars="200"/>
        <w:textAlignment w:val="baseline"/>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请你市人民政府负责落实补充耕地。督促补充耕地责任单位认真落实耕地占补平衡，补充数量相等、质量相当的耕地，对应核销耕地数量、水田规模指标（确认信息编号：440114202608060052）。</w:t>
      </w:r>
    </w:p>
    <w:p w14:paraId="109B5E37">
      <w:pPr>
        <w:keepNext w:val="0"/>
        <w:keepLines w:val="0"/>
        <w:pageBreakBefore w:val="0"/>
        <w:widowControl/>
        <w:numPr>
          <w:ilvl w:val="0"/>
          <w:numId w:val="1"/>
        </w:numPr>
        <w:kinsoku/>
        <w:wordWrap/>
        <w:overflowPunct/>
        <w:topLinePunct w:val="0"/>
        <w:bidi w:val="0"/>
        <w:adjustRightInd/>
        <w:snapToGrid/>
        <w:spacing w:line="560" w:lineRule="exact"/>
        <w:ind w:left="0" w:leftChars="0" w:firstLine="632"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请你市人民政府按照《中华人民共和国土地管理法》有关规定，严格履行征地批后实施程序，及时足额支付补偿费用，安排被征地农民的社会保障费用，落实安置措施，妥善解决好被征地农民的生产和生活，保证原有生活水平不降低，长远生计有保障。征地补偿安置不落实的，不得动工用地。</w:t>
      </w:r>
      <w:r>
        <w:rPr>
          <w:rFonts w:hint="eastAsia" w:ascii="仿宋_GB2312" w:hAnsi="仿宋_GB2312" w:eastAsia="仿宋_GB2312" w:cs="仿宋_GB2312"/>
          <w:color w:val="auto"/>
          <w:sz w:val="32"/>
          <w:szCs w:val="32"/>
          <w:highlight w:val="none"/>
          <w:u w:val="none"/>
          <w:lang w:eastAsia="zh-CN"/>
        </w:rPr>
        <w:t>你市相关不动产登记机构依此办理集体土地所有权注销或变更登记。</w:t>
      </w:r>
    </w:p>
    <w:p w14:paraId="5B65084A">
      <w:pPr>
        <w:keepNext w:val="0"/>
        <w:keepLines w:val="0"/>
        <w:pageBreakBefore w:val="0"/>
        <w:widowControl/>
        <w:kinsoku/>
        <w:wordWrap/>
        <w:overflowPunct/>
        <w:topLinePunct w:val="0"/>
        <w:bidi w:val="0"/>
        <w:adjustRightInd/>
        <w:snapToGrid/>
        <w:spacing w:line="560" w:lineRule="exact"/>
        <w:ind w:firstLine="645"/>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使用土地涉及的耕地占用税等有关税费请按规定办理。</w:t>
      </w:r>
    </w:p>
    <w:p w14:paraId="3CD233E1">
      <w:pPr>
        <w:keepNext w:val="0"/>
        <w:keepLines w:val="0"/>
        <w:pageBreakBefore w:val="0"/>
        <w:widowControl/>
        <w:kinsoku/>
        <w:wordWrap/>
        <w:overflowPunct/>
        <w:topLinePunct w:val="0"/>
        <w:bidi w:val="0"/>
        <w:adjustRightInd/>
        <w:snapToGrid/>
        <w:spacing w:line="560" w:lineRule="exact"/>
        <w:ind w:firstLine="645"/>
        <w:textAlignment w:val="baseline"/>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highlight w:val="none"/>
          <w:u w:val="none"/>
        </w:rPr>
        <w:t>批后实施情况和</w:t>
      </w:r>
      <w:r>
        <w:rPr>
          <w:rFonts w:hint="eastAsia" w:ascii="仿宋_GB2312" w:hAnsi="仿宋_GB2312" w:eastAsia="仿宋_GB2312" w:cs="仿宋_GB2312"/>
          <w:color w:val="auto"/>
          <w:sz w:val="32"/>
          <w:szCs w:val="32"/>
          <w:highlight w:val="none"/>
        </w:rPr>
        <w:t>具体项目供地情况须按规定报备。</w:t>
      </w:r>
    </w:p>
    <w:p w14:paraId="64302B58">
      <w:pPr>
        <w:widowControl/>
        <w:spacing w:line="600" w:lineRule="exact"/>
        <w:textAlignment w:val="baseline"/>
        <w:rPr>
          <w:rFonts w:hint="eastAsia" w:ascii="仿宋_GB2312" w:hAnsi="仿宋_GB2312" w:eastAsia="仿宋_GB2312" w:cs="仿宋_GB2312"/>
          <w:color w:val="auto"/>
          <w:sz w:val="32"/>
          <w:szCs w:val="32"/>
        </w:rPr>
      </w:pPr>
    </w:p>
    <w:p w14:paraId="64800BA8">
      <w:pPr>
        <w:widowControl/>
        <w:spacing w:line="600" w:lineRule="exact"/>
        <w:textAlignment w:val="baseline"/>
        <w:rPr>
          <w:rFonts w:hint="eastAsia" w:ascii="仿宋_GB2312" w:hAnsi="仿宋_GB2312" w:eastAsia="仿宋_GB2312" w:cs="仿宋_GB2312"/>
          <w:color w:val="auto"/>
          <w:sz w:val="32"/>
          <w:szCs w:val="32"/>
        </w:rPr>
      </w:pPr>
    </w:p>
    <w:p w14:paraId="698957E2">
      <w:pPr>
        <w:widowControl/>
        <w:spacing w:line="600" w:lineRule="exact"/>
        <w:ind w:firstLine="645"/>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广东省人民政府</w:t>
      </w:r>
    </w:p>
    <w:p w14:paraId="06E74DC3">
      <w:pPr>
        <w:widowControl/>
        <w:spacing w:line="600" w:lineRule="exact"/>
        <w:ind w:firstLine="645"/>
        <w:jc w:val="center"/>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Times New Roman" w:hAnsi="Times New Roman" w:eastAsia="仿宋_GB2312" w:cs="Times New Roman"/>
          <w:color w:val="auto"/>
          <w:kern w:val="2"/>
          <w:sz w:val="32"/>
          <w:szCs w:val="32"/>
          <w:highlight w:val="none"/>
          <w:u w:val="none"/>
          <w:lang w:val="en-US" w:eastAsia="zh-CN" w:bidi="ar-SA"/>
        </w:rPr>
        <w:t>202</w:t>
      </w:r>
      <w:r>
        <w:rPr>
          <w:rFonts w:hint="eastAsia" w:eastAsia="仿宋_GB2312" w:cs="Times New Roman"/>
          <w:color w:val="auto"/>
          <w:kern w:val="2"/>
          <w:sz w:val="32"/>
          <w:szCs w:val="32"/>
          <w:highlight w:val="none"/>
          <w:u w:val="none"/>
          <w:lang w:val="en-US" w:eastAsia="zh-CN" w:bidi="ar-SA"/>
        </w:rPr>
        <w:t>6</w:t>
      </w:r>
      <w:r>
        <w:rPr>
          <w:rFonts w:hint="eastAsia" w:ascii="Times New Roman" w:hAnsi="Times New Roman" w:eastAsia="仿宋_GB2312" w:cs="Times New Roman"/>
          <w:color w:val="auto"/>
          <w:kern w:val="2"/>
          <w:sz w:val="32"/>
          <w:szCs w:val="32"/>
          <w:highlight w:val="none"/>
          <w:u w:val="none"/>
          <w:lang w:val="en-US" w:eastAsia="zh-CN" w:bidi="ar-SA"/>
        </w:rPr>
        <w:t>年</w:t>
      </w:r>
      <w:r>
        <w:rPr>
          <w:rFonts w:hint="eastAsia" w:eastAsia="仿宋_GB2312" w:cs="Times New Roman"/>
          <w:color w:val="auto"/>
          <w:kern w:val="2"/>
          <w:sz w:val="32"/>
          <w:szCs w:val="32"/>
          <w:highlight w:val="none"/>
          <w:u w:val="none"/>
          <w:lang w:val="en-US" w:eastAsia="zh-CN" w:bidi="ar-SA"/>
        </w:rPr>
        <w:t>9</w:t>
      </w:r>
      <w:r>
        <w:rPr>
          <w:rFonts w:hint="eastAsia" w:ascii="Times New Roman" w:hAnsi="Times New Roman" w:eastAsia="仿宋_GB2312" w:cs="Times New Roman"/>
          <w:color w:val="auto"/>
          <w:kern w:val="2"/>
          <w:sz w:val="32"/>
          <w:szCs w:val="32"/>
          <w:highlight w:val="none"/>
          <w:u w:val="none"/>
          <w:lang w:val="en-US" w:eastAsia="zh-CN" w:bidi="ar-SA"/>
        </w:rPr>
        <w:t>月</w:t>
      </w:r>
      <w:r>
        <w:rPr>
          <w:rFonts w:hint="eastAsia" w:eastAsia="仿宋_GB2312" w:cs="Times New Roman"/>
          <w:color w:val="auto"/>
          <w:kern w:val="2"/>
          <w:sz w:val="32"/>
          <w:szCs w:val="32"/>
          <w:highlight w:val="none"/>
          <w:u w:val="none"/>
          <w:lang w:val="en-US" w:eastAsia="zh-CN" w:bidi="ar-SA"/>
        </w:rPr>
        <w:t>18</w:t>
      </w:r>
      <w:r>
        <w:rPr>
          <w:rFonts w:hint="eastAsia" w:ascii="仿宋_GB2312" w:hAnsi="仿宋_GB2312" w:eastAsia="仿宋_GB2312" w:cs="仿宋_GB2312"/>
          <w:color w:val="auto"/>
          <w:sz w:val="32"/>
          <w:szCs w:val="32"/>
        </w:rPr>
        <w:t>日</w:t>
      </w:r>
    </w:p>
    <w:p w14:paraId="0CA33FA2">
      <w:pPr>
        <w:widowControl/>
        <w:spacing w:line="600" w:lineRule="exact"/>
        <w:textAlignment w:val="baseline"/>
        <w:rPr>
          <w:rFonts w:hint="eastAsia" w:eastAsia="仿宋_GB2312"/>
          <w:color w:val="auto"/>
          <w:sz w:val="32"/>
          <w:szCs w:val="32"/>
        </w:rPr>
      </w:pPr>
    </w:p>
    <w:p w14:paraId="00F2A747">
      <w:pPr>
        <w:widowControl/>
        <w:spacing w:line="600" w:lineRule="exact"/>
        <w:textAlignment w:val="baseline"/>
        <w:rPr>
          <w:rFonts w:hint="eastAsia" w:eastAsia="仿宋_GB2312"/>
          <w:color w:val="auto"/>
          <w:sz w:val="32"/>
          <w:szCs w:val="32"/>
        </w:rPr>
      </w:pPr>
    </w:p>
    <w:p w14:paraId="7B04299A">
      <w:pPr>
        <w:widowControl/>
        <w:spacing w:line="600" w:lineRule="exact"/>
        <w:textAlignment w:val="baseline"/>
        <w:rPr>
          <w:rFonts w:hint="eastAsia" w:eastAsia="仿宋_GB2312"/>
          <w:color w:val="auto"/>
          <w:sz w:val="32"/>
          <w:szCs w:val="32"/>
        </w:rPr>
      </w:pPr>
    </w:p>
    <w:p w14:paraId="79D6A736">
      <w:pPr>
        <w:widowControl/>
        <w:spacing w:line="600" w:lineRule="exact"/>
        <w:textAlignment w:val="baseline"/>
        <w:rPr>
          <w:rFonts w:hint="eastAsia" w:eastAsia="仿宋_GB2312"/>
          <w:color w:val="auto"/>
          <w:sz w:val="32"/>
          <w:szCs w:val="32"/>
        </w:rPr>
      </w:pPr>
    </w:p>
    <w:p w14:paraId="484310CC">
      <w:pPr>
        <w:widowControl/>
        <w:spacing w:line="600" w:lineRule="exact"/>
        <w:textAlignment w:val="baseline"/>
        <w:rPr>
          <w:rFonts w:hint="eastAsia" w:eastAsia="仿宋_GB2312"/>
          <w:color w:val="auto"/>
          <w:sz w:val="32"/>
          <w:szCs w:val="32"/>
        </w:rPr>
      </w:pPr>
    </w:p>
    <w:p w14:paraId="2F9A10A2">
      <w:pPr>
        <w:widowControl/>
        <w:spacing w:line="600" w:lineRule="exact"/>
        <w:textAlignment w:val="baseline"/>
        <w:rPr>
          <w:rFonts w:hint="eastAsia" w:eastAsia="仿宋_GB2312"/>
          <w:color w:val="auto"/>
          <w:sz w:val="32"/>
          <w:szCs w:val="32"/>
        </w:rPr>
      </w:pPr>
    </w:p>
    <w:p w14:paraId="15C06793">
      <w:pPr>
        <w:widowControl/>
        <w:spacing w:line="600" w:lineRule="exact"/>
        <w:textAlignment w:val="baseline"/>
        <w:rPr>
          <w:rFonts w:hint="eastAsia" w:eastAsia="仿宋_GB2312"/>
          <w:color w:val="auto"/>
          <w:sz w:val="32"/>
          <w:szCs w:val="32"/>
        </w:rPr>
      </w:pPr>
    </w:p>
    <w:p w14:paraId="7AF717B8">
      <w:pPr>
        <w:spacing w:line="600" w:lineRule="exact"/>
        <w:rPr>
          <w:rFonts w:hint="eastAsia" w:ascii="黑体" w:hAnsi="黑体" w:eastAsia="黑体"/>
          <w:color w:val="auto"/>
          <w:sz w:val="32"/>
          <w:szCs w:val="32"/>
        </w:rPr>
      </w:pPr>
      <w:r>
        <w:rPr>
          <w:rFonts w:hint="eastAsia" w:ascii="黑体" w:hAnsi="黑体" w:eastAsia="黑体"/>
          <w:color w:val="auto"/>
          <w:sz w:val="32"/>
          <w:szCs w:val="32"/>
        </w:rPr>
        <w:t>公开方式：</w:t>
      </w:r>
      <w:r>
        <w:rPr>
          <w:rFonts w:hint="eastAsia" w:eastAsia="仿宋_GB2312"/>
          <w:color w:val="auto"/>
          <w:sz w:val="32"/>
          <w:szCs w:val="32"/>
        </w:rPr>
        <w:t>主动公开</w:t>
      </w:r>
    </w:p>
    <w:p w14:paraId="7E5CFCCF">
      <w:pPr>
        <w:spacing w:line="560" w:lineRule="exact"/>
        <w:ind w:left="1104" w:leftChars="201" w:hanging="690" w:hangingChars="250"/>
        <w:rPr>
          <w:color w:val="auto"/>
        </w:rPr>
      </w:pPr>
      <w:r>
        <w:rPr>
          <w:rFonts w:eastAsia="仿宋_GB2312"/>
          <w:color w:val="auto"/>
          <w:sz w:val="28"/>
          <w:szCs w:val="28"/>
        </w:rPr>
        <w:t>抄送：</w:t>
      </w:r>
      <w:r>
        <w:rPr>
          <w:rFonts w:hint="eastAsia" w:eastAsia="仿宋_GB2312"/>
          <w:color w:val="auto"/>
          <w:sz w:val="28"/>
          <w:szCs w:val="28"/>
        </w:rPr>
        <w:t>国家自然资源督察广州局，财政部广东监管局，省财政厅、省人力资源和社会保障厅、省自然资源厅、省农业农村厅、国家税务总局广东省税务局</w:t>
      </w:r>
      <w:r>
        <w:rPr>
          <w:rFonts w:hint="eastAsia" w:eastAsia="仿宋_GB2312"/>
          <w:color w:val="auto"/>
          <w:sz w:val="28"/>
          <w:szCs w:val="28"/>
          <w:lang w:eastAsia="zh-CN"/>
        </w:rPr>
        <w:t>。</w:t>
      </w:r>
    </w:p>
    <w:sectPr>
      <w:footerReference r:id="rId3" w:type="default"/>
      <w:footerReference r:id="rId4" w:type="even"/>
      <w:pgSz w:w="11906" w:h="16838"/>
      <w:pgMar w:top="1814" w:right="1361" w:bottom="1474" w:left="1531" w:header="851" w:footer="1587" w:gutter="0"/>
      <w:cols w:space="720" w:num="1"/>
      <w:titlePg/>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DF8A5">
    <w:pPr>
      <w:pStyle w:val="2"/>
      <w:framePr w:wrap="around" w:vAnchor="text" w:hAnchor="margin" w:xAlign="outside" w:y="1"/>
      <w:rPr>
        <w:rStyle w:val="5"/>
        <w:rFonts w:hint="eastAsia"/>
        <w:sz w:val="28"/>
        <w:szCs w:val="28"/>
      </w:rPr>
    </w:pPr>
    <w:r>
      <w:rPr>
        <w:rStyle w:val="5"/>
        <w:rFonts w:hint="eastAsia"/>
        <w:sz w:val="28"/>
        <w:szCs w:val="28"/>
      </w:rPr>
      <w:t xml:space="preserve">— </w:t>
    </w:r>
    <w:r>
      <w:rPr>
        <w:sz w:val="28"/>
        <w:szCs w:val="28"/>
      </w:rPr>
      <w:fldChar w:fldCharType="begin"/>
    </w:r>
    <w:r>
      <w:rPr>
        <w:rStyle w:val="5"/>
        <w:sz w:val="28"/>
        <w:szCs w:val="28"/>
      </w:rPr>
      <w:instrText xml:space="preserve">PAGE  </w:instrText>
    </w:r>
    <w:r>
      <w:rPr>
        <w:sz w:val="28"/>
        <w:szCs w:val="28"/>
      </w:rPr>
      <w:fldChar w:fldCharType="separate"/>
    </w:r>
    <w:r>
      <w:rPr>
        <w:rStyle w:val="5"/>
        <w:sz w:val="28"/>
        <w:szCs w:val="28"/>
      </w:rPr>
      <w:t>4</w:t>
    </w:r>
    <w:r>
      <w:rPr>
        <w:sz w:val="28"/>
        <w:szCs w:val="28"/>
      </w:rPr>
      <w:fldChar w:fldCharType="end"/>
    </w:r>
    <w:r>
      <w:rPr>
        <w:rStyle w:val="5"/>
        <w:rFonts w:hint="eastAsia"/>
        <w:sz w:val="28"/>
        <w:szCs w:val="28"/>
      </w:rPr>
      <w:t xml:space="preserve"> —</w:t>
    </w:r>
  </w:p>
  <w:p w14:paraId="29959279">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7E195">
    <w:pPr>
      <w:pStyle w:val="2"/>
      <w:framePr w:wrap="around" w:vAnchor="text" w:hAnchor="margin" w:xAlign="outside" w:y="1"/>
      <w:rPr>
        <w:rStyle w:val="5"/>
      </w:rPr>
    </w:pPr>
    <w:r>
      <w:fldChar w:fldCharType="begin"/>
    </w:r>
    <w:r>
      <w:rPr>
        <w:rStyle w:val="5"/>
      </w:rPr>
      <w:instrText xml:space="preserve">PAGE  </w:instrText>
    </w:r>
    <w:r>
      <w:fldChar w:fldCharType="end"/>
    </w:r>
  </w:p>
  <w:p w14:paraId="66325831">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F19352"/>
    <w:multiLevelType w:val="singleLevel"/>
    <w:tmpl w:val="4FF1935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9E8"/>
    <w:rsid w:val="007239E8"/>
    <w:rsid w:val="026C2F25"/>
    <w:rsid w:val="02810FF7"/>
    <w:rsid w:val="0346238A"/>
    <w:rsid w:val="05390C07"/>
    <w:rsid w:val="055C27B5"/>
    <w:rsid w:val="06F54CD0"/>
    <w:rsid w:val="0C1E21BA"/>
    <w:rsid w:val="0C9920D9"/>
    <w:rsid w:val="0F7B02F4"/>
    <w:rsid w:val="109F6DD2"/>
    <w:rsid w:val="13236B26"/>
    <w:rsid w:val="15EA2560"/>
    <w:rsid w:val="1CA90EA4"/>
    <w:rsid w:val="26AD3E24"/>
    <w:rsid w:val="2E6F1820"/>
    <w:rsid w:val="32043682"/>
    <w:rsid w:val="33935FAE"/>
    <w:rsid w:val="3BBA7AA0"/>
    <w:rsid w:val="3E8770EB"/>
    <w:rsid w:val="407B1783"/>
    <w:rsid w:val="429C3C8E"/>
    <w:rsid w:val="44481963"/>
    <w:rsid w:val="483A73C5"/>
    <w:rsid w:val="4B480461"/>
    <w:rsid w:val="4C9C00C8"/>
    <w:rsid w:val="4F3A3A5E"/>
    <w:rsid w:val="4F5579DC"/>
    <w:rsid w:val="4F617A2B"/>
    <w:rsid w:val="506F56B2"/>
    <w:rsid w:val="51C56C38"/>
    <w:rsid w:val="54AD5139"/>
    <w:rsid w:val="555846C7"/>
    <w:rsid w:val="56A7023F"/>
    <w:rsid w:val="59B07162"/>
    <w:rsid w:val="5D265BA5"/>
    <w:rsid w:val="5D293D56"/>
    <w:rsid w:val="5EE0577F"/>
    <w:rsid w:val="63473723"/>
    <w:rsid w:val="6D593268"/>
    <w:rsid w:val="757D1697"/>
    <w:rsid w:val="770C5427"/>
    <w:rsid w:val="7BC435A7"/>
    <w:rsid w:val="7BF82EAB"/>
    <w:rsid w:val="7E2F5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6">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jc w:val="both"/>
    </w:pPr>
    <w:rPr>
      <w:rFonts w:ascii="Times New Roman" w:hAnsi="Times New Roman" w:eastAsia="宋体" w:cs="Times New Roman"/>
      <w:kern w:val="2"/>
      <w:sz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811</Words>
  <Characters>915</Characters>
  <Lines>0</Lines>
  <Paragraphs>0</Paragraphs>
  <TotalTime>7</TotalTime>
  <ScaleCrop>false</ScaleCrop>
  <LinksUpToDate>false</LinksUpToDate>
  <CharactersWithSpaces>970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2025-03-24T02:12:00Z</dcterms:created>
  <dc:creator>123</dc:creator>
  <cp:lastModifiedBy>Administrator</cp:lastModifiedBy>
  <dcterms:modified xsi:type="dcterms:W3CDTF">2026-10-16T03:12:29Z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50C58CED391548A2B10BA66E45B58CF7</vt:lpwstr>
  </property>
  <property fmtid="{D5CDD505-2E9C-101B-9397-08002B2CF9AE}" pid="4" name="KSOTemplateDocerSaveRecord">
    <vt:lpwstr>eyJoZGlkIjoiMDNlYzk3ODM5ZWI2YWYzZTc5ODBlZDQ3N2VlYTM4YTcifQ==</vt:lpwstr>
  </property>
</Properties>
</file>