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4D0D34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p w14:paraId="782B6EA9">
      <w:pPr>
        <w:jc w:val="center"/>
        <w:rPr>
          <w:rFonts w:hint="eastAsia" w:ascii="黑体" w:hAnsi="黑体" w:eastAsia="黑体" w:cs="黑体"/>
          <w:sz w:val="42"/>
          <w:szCs w:val="42"/>
        </w:rPr>
      </w:pPr>
      <w:r>
        <w:rPr>
          <w:rFonts w:hint="eastAsia" w:ascii="黑体" w:hAnsi="黑体" w:eastAsia="黑体" w:cs="黑体"/>
          <w:sz w:val="42"/>
          <w:szCs w:val="42"/>
        </w:rPr>
        <w:t>《花都区加快农业农村现代化“十五五”规划》</w:t>
      </w:r>
    </w:p>
    <w:p w14:paraId="11B24D68">
      <w:pPr>
        <w:jc w:val="center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  <w:lang w:eastAsia="zh-CN"/>
        </w:rPr>
        <w:t>起草</w:t>
      </w:r>
      <w:r>
        <w:rPr>
          <w:rFonts w:hint="eastAsia" w:ascii="黑体" w:hAnsi="黑体" w:eastAsia="黑体" w:cs="黑体"/>
          <w:sz w:val="44"/>
          <w:szCs w:val="44"/>
        </w:rPr>
        <w:t>说明</w:t>
      </w:r>
    </w:p>
    <w:p w14:paraId="159E10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</w:p>
    <w:p w14:paraId="3D8079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Chars="200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  <w:sz w:val="32"/>
          <w:szCs w:val="32"/>
        </w:rPr>
        <w:t>一、编制过</w:t>
      </w:r>
      <w:r>
        <w:rPr>
          <w:rFonts w:hint="eastAsia" w:ascii="黑体" w:hAnsi="黑体" w:eastAsia="黑体" w:cs="黑体"/>
        </w:rPr>
        <w:t>程</w:t>
      </w:r>
    </w:p>
    <w:p w14:paraId="25B5B4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Chars="200"/>
        <w:textAlignment w:val="auto"/>
        <w:rPr>
          <w:rFonts w:hint="default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</w:rPr>
        <w:t>为贯彻落实国家、省、市上位规划部署要求，按照区委</w:t>
      </w:r>
      <w:r>
        <w:rPr>
          <w:rFonts w:hint="eastAsia" w:ascii="仿宋_GB2312" w:hAnsi="仿宋_GB2312" w:eastAsia="仿宋_GB2312" w:cs="仿宋_GB2312"/>
          <w:lang w:eastAsia="zh-CN"/>
        </w:rPr>
        <w:t>、区政府</w:t>
      </w:r>
      <w:r>
        <w:rPr>
          <w:rFonts w:hint="eastAsia" w:ascii="仿宋_GB2312" w:hAnsi="仿宋_GB2312" w:eastAsia="仿宋_GB2312" w:cs="仿宋_GB2312"/>
        </w:rPr>
        <w:t>关于做好“十五五”规划编制的工作安排，区农业农村局会同省农科院团队扎实有序推进《规划》编制工作，主要分为三个阶段。</w:t>
      </w:r>
      <w:r>
        <w:rPr>
          <w:rFonts w:hint="eastAsia" w:ascii="仿宋_GB2312" w:hAnsi="仿宋_GB2312" w:eastAsia="仿宋_GB2312" w:cs="仿宋_GB2312"/>
          <w:b/>
          <w:bCs/>
        </w:rPr>
        <w:t>一是前期</w:t>
      </w:r>
      <w:r>
        <w:rPr>
          <w:rFonts w:hint="eastAsia" w:ascii="仿宋_GB2312" w:hAnsi="仿宋_GB2312" w:eastAsia="仿宋_GB2312" w:cs="仿宋_GB2312"/>
          <w:b/>
          <w:bCs/>
          <w:lang w:val="en-US" w:eastAsia="zh-CN"/>
        </w:rPr>
        <w:t>调研</w:t>
      </w:r>
      <w:r>
        <w:rPr>
          <w:rFonts w:hint="eastAsia" w:ascii="仿宋_GB2312" w:hAnsi="仿宋_GB2312" w:eastAsia="仿宋_GB2312" w:cs="仿宋_GB2312"/>
          <w:b/>
          <w:bCs/>
        </w:rPr>
        <w:t>阶段</w:t>
      </w:r>
      <w:r>
        <w:rPr>
          <w:rFonts w:hint="eastAsia" w:ascii="仿宋_GB2312" w:hAnsi="仿宋_GB2312" w:eastAsia="仿宋_GB2312" w:cs="仿宋_GB2312"/>
        </w:rPr>
        <w:t>。2025年</w:t>
      </w:r>
      <w:r>
        <w:rPr>
          <w:rFonts w:hint="eastAsia" w:ascii="仿宋_GB2312" w:hAnsi="仿宋_GB2312" w:eastAsia="仿宋_GB2312" w:cs="仿宋_GB2312"/>
          <w:lang w:val="en-US" w:eastAsia="zh-CN"/>
        </w:rPr>
        <w:t>7—12月</w:t>
      </w:r>
      <w:r>
        <w:rPr>
          <w:rFonts w:hint="eastAsia" w:ascii="仿宋_GB2312" w:hAnsi="仿宋_GB2312" w:eastAsia="仿宋_GB2312" w:cs="仿宋_GB2312"/>
        </w:rPr>
        <w:t>，深入涉农镇街和农业企业、产业园区一线实地调研，系统评估“十四五”发展成效，加强形势分析研判，研究提出未来五年发展思路。</w:t>
      </w:r>
      <w:r>
        <w:rPr>
          <w:rFonts w:hint="eastAsia" w:ascii="仿宋_GB2312" w:hAnsi="仿宋_GB2312" w:eastAsia="仿宋_GB2312" w:cs="仿宋_GB2312"/>
          <w:b/>
          <w:bCs/>
        </w:rPr>
        <w:t>二是初稿编制阶段</w:t>
      </w:r>
      <w:r>
        <w:rPr>
          <w:rFonts w:hint="eastAsia" w:ascii="仿宋_GB2312" w:hAnsi="仿宋_GB2312" w:eastAsia="仿宋_GB2312" w:cs="仿宋_GB2312"/>
        </w:rPr>
        <w:t>。2026年上半年，对标国家、省、市相关规划和《广州市花都区国民经济和社会发展第十五个五年规划纲要》，系统提出“十五五”时期花都农业农村现代化的发展目标、重点任务和保障措施，形成《规划》初稿。</w:t>
      </w:r>
      <w:r>
        <w:rPr>
          <w:rFonts w:hint="eastAsia" w:ascii="仿宋_GB2312" w:hAnsi="仿宋_GB2312" w:eastAsia="仿宋_GB2312" w:cs="仿宋_GB2312"/>
          <w:b/>
          <w:bCs/>
        </w:rPr>
        <w:t>三是征求意见阶段</w:t>
      </w:r>
      <w:r>
        <w:rPr>
          <w:rFonts w:hint="eastAsia" w:ascii="仿宋_GB2312" w:hAnsi="仿宋_GB2312" w:eastAsia="仿宋_GB2312" w:cs="仿宋_GB2312"/>
        </w:rPr>
        <w:t>。先后</w:t>
      </w:r>
      <w:r>
        <w:rPr>
          <w:rFonts w:hint="eastAsia" w:ascii="仿宋_GB2312" w:hAnsi="仿宋_GB2312" w:eastAsia="仿宋_GB2312" w:cs="仿宋_GB2312"/>
          <w:lang w:val="en-US" w:eastAsia="zh-CN"/>
        </w:rPr>
        <w:t>多次</w:t>
      </w:r>
      <w:r>
        <w:rPr>
          <w:rFonts w:hint="eastAsia" w:ascii="仿宋_GB2312" w:hAnsi="仿宋_GB2312" w:eastAsia="仿宋_GB2312" w:cs="仿宋_GB2312"/>
        </w:rPr>
        <w:t>征求</w:t>
      </w:r>
      <w:r>
        <w:rPr>
          <w:rFonts w:hint="eastAsia" w:ascii="仿宋_GB2312" w:hAnsi="仿宋_GB2312" w:eastAsia="仿宋_GB2312" w:cs="仿宋_GB2312"/>
          <w:lang w:val="en-US" w:eastAsia="zh-CN"/>
        </w:rPr>
        <w:t>局内各科室</w:t>
      </w:r>
      <w:r>
        <w:rPr>
          <w:rFonts w:hint="eastAsia" w:ascii="仿宋_GB2312" w:hAnsi="仿宋_GB2312" w:eastAsia="仿宋_GB2312" w:cs="仿宋_GB2312"/>
        </w:rPr>
        <w:t>意见建议，逐条研究吸纳、反复修改完善，历经十二轮修改形成</w:t>
      </w:r>
      <w:r>
        <w:rPr>
          <w:rFonts w:hint="eastAsia" w:ascii="仿宋_GB2312" w:hAnsi="仿宋_GB2312" w:eastAsia="仿宋_GB2312" w:cs="仿宋_GB2312"/>
          <w:lang w:val="en-US" w:eastAsia="zh-CN"/>
        </w:rPr>
        <w:t>研讨</w:t>
      </w:r>
      <w:r>
        <w:rPr>
          <w:rFonts w:hint="eastAsia" w:ascii="仿宋_GB2312" w:hAnsi="仿宋_GB2312" w:eastAsia="仿宋_GB2312" w:cs="仿宋_GB2312"/>
        </w:rPr>
        <w:t>稿。</w:t>
      </w:r>
      <w:r>
        <w:rPr>
          <w:rFonts w:hint="eastAsia" w:ascii="仿宋_GB2312" w:hAnsi="仿宋_GB2312" w:eastAsia="仿宋_GB2312" w:cs="仿宋_GB2312"/>
          <w:b/>
          <w:bCs/>
          <w:lang w:val="en-US" w:eastAsia="zh-CN"/>
        </w:rPr>
        <w:t>7月份以来，</w:t>
      </w:r>
      <w:r>
        <w:rPr>
          <w:rFonts w:hint="eastAsia" w:ascii="仿宋_GB2312" w:hAnsi="仿宋_GB2312" w:eastAsia="仿宋_GB2312" w:cs="仿宋_GB2312"/>
          <w:lang w:val="en-US" w:eastAsia="zh-CN"/>
        </w:rPr>
        <w:t>编制团队按照上级要求，参照省市做法，将规划文本调整为“正文+专栏”形式，将篇幅由3万字精简至1.5万字。</w:t>
      </w:r>
    </w:p>
    <w:p w14:paraId="793D9C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二、主要内容</w:t>
      </w:r>
    </w:p>
    <w:p w14:paraId="655ACA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《规划》共九章，按照“1+4+3+1”框架分为四个板块：</w:t>
      </w:r>
    </w:p>
    <w:p w14:paraId="74C9B2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（一）总体要求（第一章）。</w:t>
      </w:r>
      <w:r>
        <w:rPr>
          <w:rFonts w:hint="eastAsia" w:ascii="仿宋_GB2312" w:hAnsi="仿宋_GB2312" w:eastAsia="仿宋_GB2312" w:cs="仿宋_GB2312"/>
        </w:rPr>
        <w:t>明确“十五五”时期花都加快农业农村现代化的指导思想和发展目标，提出到2030年率先基本实现农业农村现代化、都市现代农业强区建设取得决定性进展，并展望2035年远景目标。</w:t>
      </w:r>
    </w:p>
    <w:p w14:paraId="595E9A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（二）农业现代化方面（第二至五章）。</w:t>
      </w:r>
      <w:r>
        <w:rPr>
          <w:rFonts w:hint="eastAsia" w:ascii="黑体" w:hAnsi="黑体" w:eastAsia="黑体" w:cs="黑体"/>
        </w:rPr>
        <w:t>一是</w:t>
      </w:r>
      <w:r>
        <w:rPr>
          <w:rFonts w:hint="eastAsia" w:ascii="仿宋_GB2312" w:hAnsi="仿宋_GB2312" w:eastAsia="仿宋_GB2312" w:cs="仿宋_GB2312"/>
        </w:rPr>
        <w:t>夯实稳产保供根基，提升农业质量效益和市场竞争力，部署粮食和重要农产品稳产保供、农产品品牌培育、农村一二三产业深度融合等任务。</w:t>
      </w:r>
      <w:r>
        <w:rPr>
          <w:rFonts w:hint="eastAsia" w:ascii="黑体" w:hAnsi="黑体" w:eastAsia="黑体" w:cs="黑体"/>
        </w:rPr>
        <w:t>二是</w:t>
      </w:r>
      <w:r>
        <w:rPr>
          <w:rFonts w:hint="eastAsia" w:ascii="仿宋_GB2312" w:hAnsi="仿宋_GB2312" w:eastAsia="仿宋_GB2312" w:cs="仿宋_GB2312"/>
        </w:rPr>
        <w:t>壮大特色优势产业集群，把农业建成现代化大产业，做精岭南盆景、做强精品花卉、做大现代渔业、做优绿色果蔬、做实生态畜禽，</w:t>
      </w:r>
      <w:r>
        <w:rPr>
          <w:rFonts w:hint="eastAsia" w:ascii="仿宋_GB2312" w:hAnsi="仿宋_GB2312" w:eastAsia="仿宋_GB2312" w:cs="仿宋_GB2312"/>
          <w:lang w:val="en-US" w:eastAsia="zh-CN"/>
        </w:rPr>
        <w:t>壮大</w:t>
      </w:r>
      <w:r>
        <w:rPr>
          <w:rFonts w:hint="eastAsia" w:ascii="仿宋_GB2312" w:hAnsi="仿宋_GB2312" w:eastAsia="仿宋_GB2312" w:cs="仿宋_GB2312"/>
        </w:rPr>
        <w:t>5个10亿级特色产业集群。</w:t>
      </w:r>
      <w:r>
        <w:rPr>
          <w:rFonts w:hint="eastAsia" w:ascii="黑体" w:hAnsi="黑体" w:eastAsia="黑体" w:cs="黑体"/>
        </w:rPr>
        <w:t>三是</w:t>
      </w:r>
      <w:r>
        <w:rPr>
          <w:rFonts w:hint="eastAsia" w:ascii="仿宋_GB2312" w:hAnsi="仿宋_GB2312" w:eastAsia="仿宋_GB2312" w:cs="仿宋_GB2312"/>
        </w:rPr>
        <w:t>大力发展现代设施农业，构建“2+10+N”梯度培育体系，建设粤港澳大湾区现代设施农业创新高地。</w:t>
      </w:r>
      <w:r>
        <w:rPr>
          <w:rFonts w:hint="eastAsia" w:ascii="黑体" w:hAnsi="黑体" w:eastAsia="黑体" w:cs="黑体"/>
        </w:rPr>
        <w:t>四是</w:t>
      </w:r>
      <w:r>
        <w:rPr>
          <w:rFonts w:hint="eastAsia" w:ascii="仿宋_GB2312" w:hAnsi="仿宋_GB2312" w:eastAsia="仿宋_GB2312" w:cs="仿宋_GB2312"/>
        </w:rPr>
        <w:t>强化农业科技装备支撑，培育发展农业新质生产力，部署种业振兴、关键技术装备研发、智慧农业、新兴产业和未来产业等任务。</w:t>
      </w:r>
    </w:p>
    <w:p w14:paraId="53EC5A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（三）农村现代化方面（第六至八章）。</w:t>
      </w:r>
      <w:r>
        <w:rPr>
          <w:rFonts w:hint="eastAsia" w:ascii="黑体" w:hAnsi="黑体" w:eastAsia="黑体" w:cs="黑体"/>
        </w:rPr>
        <w:t>一是</w:t>
      </w:r>
      <w:r>
        <w:rPr>
          <w:rFonts w:hint="eastAsia" w:ascii="仿宋_GB2312" w:hAnsi="仿宋_GB2312" w:eastAsia="仿宋_GB2312" w:cs="仿宋_GB2312"/>
        </w:rPr>
        <w:t>完善联农带农机制，促进农民持续稳定增收。</w:t>
      </w:r>
      <w:r>
        <w:rPr>
          <w:rFonts w:hint="eastAsia" w:ascii="黑体" w:hAnsi="黑体" w:eastAsia="黑体" w:cs="黑体"/>
        </w:rPr>
        <w:t>二是</w:t>
      </w:r>
      <w:r>
        <w:rPr>
          <w:rFonts w:hint="eastAsia" w:ascii="仿宋_GB2312" w:hAnsi="仿宋_GB2312" w:eastAsia="仿宋_GB2312" w:cs="仿宋_GB2312"/>
        </w:rPr>
        <w:t>片区化组团式推进乡村建设，提升村镇一体化建设水平。</w:t>
      </w:r>
      <w:r>
        <w:rPr>
          <w:rFonts w:hint="eastAsia" w:ascii="黑体" w:hAnsi="黑体" w:eastAsia="黑体" w:cs="黑体"/>
        </w:rPr>
        <w:t>三是</w:t>
      </w:r>
      <w:r>
        <w:rPr>
          <w:rFonts w:hint="eastAsia" w:ascii="仿宋_GB2312" w:hAnsi="仿宋_GB2312" w:eastAsia="仿宋_GB2312" w:cs="仿宋_GB2312"/>
        </w:rPr>
        <w:t>强化集成式改革，深化农村土地制度、新型农村集体经济、城乡融合发展、新型帮扶协作等改革，在城乡区域协调发展中树标杆、作示范。</w:t>
      </w:r>
    </w:p>
    <w:p w14:paraId="7687B0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（四）保障措施（第九章）。</w:t>
      </w:r>
      <w:r>
        <w:rPr>
          <w:rFonts w:hint="eastAsia" w:ascii="仿宋_GB2312" w:hAnsi="仿宋_GB2312" w:eastAsia="仿宋_GB2312" w:cs="仿宋_GB2312"/>
        </w:rPr>
        <w:t>围绕加强组织</w:t>
      </w:r>
      <w:r>
        <w:rPr>
          <w:rFonts w:hint="eastAsia" w:ascii="仿宋_GB2312" w:hAnsi="仿宋_GB2312" w:eastAsia="仿宋_GB2312" w:cs="仿宋_GB2312"/>
          <w:lang w:val="en-US" w:eastAsia="zh-CN"/>
        </w:rPr>
        <w:t>领导</w:t>
      </w:r>
      <w:r>
        <w:rPr>
          <w:rFonts w:hint="eastAsia" w:ascii="仿宋_GB2312" w:hAnsi="仿宋_GB2312" w:eastAsia="仿宋_GB2312" w:cs="仿宋_GB2312"/>
        </w:rPr>
        <w:t>、健全多元投入机制、加强招商引资、加强监测评估提出具体要求。</w:t>
      </w:r>
    </w:p>
    <w:p w14:paraId="4A00D0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三、主要特点</w:t>
      </w:r>
    </w:p>
    <w:p w14:paraId="4C323C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Chars="200"/>
        <w:textAlignment w:val="auto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（一）注重规划衔接。</w:t>
      </w:r>
      <w:r>
        <w:rPr>
          <w:rFonts w:hint="eastAsia" w:ascii="黑体" w:hAnsi="黑体" w:eastAsia="黑体" w:cs="黑体"/>
        </w:rPr>
        <w:t>在发展目标上</w:t>
      </w:r>
      <w:r>
        <w:rPr>
          <w:rFonts w:hint="eastAsia" w:ascii="仿宋_GB2312" w:hAnsi="仿宋_GB2312" w:eastAsia="仿宋_GB2312" w:cs="仿宋_GB2312"/>
        </w:rPr>
        <w:t>，对标国家、省、市要求，国家《规划》提出</w:t>
      </w:r>
      <w:bookmarkStart w:id="0" w:name="_GoBack"/>
      <w:r>
        <w:rPr>
          <w:rFonts w:hint="eastAsia" w:ascii="仿宋_GB2312" w:hAnsi="仿宋_GB2312" w:eastAsia="仿宋_GB2312" w:cs="仿宋_GB2312"/>
          <w:lang w:eastAsia="zh-CN"/>
        </w:rPr>
        <w:t>到2035年基本实现农业现代化</w:t>
      </w:r>
      <w:bookmarkEnd w:id="0"/>
      <w:r>
        <w:rPr>
          <w:rFonts w:hint="eastAsia" w:ascii="仿宋_GB2312" w:hAnsi="仿宋_GB2312" w:eastAsia="仿宋_GB2312" w:cs="仿宋_GB2312"/>
        </w:rPr>
        <w:t>，市《规划》提出到2030年在全国率先基本实现农业农村现代化，花都立足国家乡村振兴示范县创建基础，提出到2030年率先基本实现农业农村现代化，城乡居民收入比缩小至1.65</w:t>
      </w:r>
      <w:r>
        <w:rPr>
          <w:rFonts w:hint="eastAsia" w:ascii="仿宋_GB2312" w:hAnsi="仿宋_GB2312" w:eastAsia="仿宋_GB2312" w:cs="仿宋_GB2312"/>
          <w:lang w:eastAsia="zh-CN"/>
        </w:rPr>
        <w:t>，</w:t>
      </w:r>
      <w:r>
        <w:rPr>
          <w:rFonts w:hint="eastAsia" w:ascii="仿宋_GB2312" w:hAnsi="仿宋_GB2312" w:eastAsia="仿宋_GB2312" w:cs="仿宋_GB2312"/>
        </w:rPr>
        <w:t>优于全市1.9以内的目标，体现走在前列的责任担当。</w:t>
      </w:r>
      <w:r>
        <w:rPr>
          <w:rFonts w:hint="eastAsia" w:ascii="黑体" w:hAnsi="黑体" w:eastAsia="黑体" w:cs="黑体"/>
        </w:rPr>
        <w:t>指标体系衔接度高</w:t>
      </w:r>
      <w:r>
        <w:rPr>
          <w:rFonts w:hint="eastAsia" w:ascii="黑体" w:hAnsi="黑体" w:eastAsia="黑体" w:cs="黑体"/>
          <w:lang w:eastAsia="zh-CN"/>
        </w:rPr>
        <w:t>，</w:t>
      </w:r>
      <w:r>
        <w:rPr>
          <w:rFonts w:hint="eastAsia" w:ascii="仿宋_GB2312" w:hAnsi="仿宋_GB2312" w:eastAsia="仿宋_GB2312" w:cs="仿宋_GB2312"/>
          <w:lang w:val="en-US" w:eastAsia="zh-CN"/>
        </w:rPr>
        <w:t>在国家《规划》15项指标、省《规划》16项指标的基础上，</w:t>
      </w:r>
      <w:r>
        <w:rPr>
          <w:rFonts w:hint="eastAsia" w:ascii="仿宋_GB2312" w:hAnsi="仿宋_GB2312" w:eastAsia="仿宋_GB2312" w:cs="仿宋_GB2312"/>
        </w:rPr>
        <w:t>区规划设置指标18项（约束性2项、预期性16项），市规划设置20项（约束性2项、预期性18项），</w:t>
      </w:r>
      <w:r>
        <w:rPr>
          <w:rFonts w:hint="eastAsia" w:ascii="仿宋_GB2312" w:hAnsi="仿宋_GB2312" w:eastAsia="仿宋_GB2312" w:cs="仿宋_GB2312"/>
          <w:lang w:val="en-US" w:eastAsia="zh-CN"/>
        </w:rPr>
        <w:t>区、市</w:t>
      </w:r>
      <w:r>
        <w:rPr>
          <w:rFonts w:hint="eastAsia" w:ascii="仿宋_GB2312" w:hAnsi="仿宋_GB2312" w:eastAsia="仿宋_GB2312" w:cs="仿宋_GB2312"/>
        </w:rPr>
        <w:t>共性指标8项，且2项约束性指标（粮食综合生产能力、农产品质量安全例行监测合格率</w:t>
      </w:r>
      <w:r>
        <w:rPr>
          <w:rFonts w:hint="eastAsia" w:ascii="仿宋_GB2312" w:hAnsi="仿宋_GB2312" w:eastAsia="仿宋_GB2312" w:cs="仿宋_GB2312"/>
          <w:lang w:eastAsia="zh-CN"/>
        </w:rPr>
        <w:t>）</w:t>
      </w:r>
      <w:r>
        <w:rPr>
          <w:rFonts w:hint="eastAsia" w:ascii="仿宋_GB2312" w:hAnsi="仿宋_GB2312" w:eastAsia="仿宋_GB2312" w:cs="仿宋_GB2312"/>
          <w:lang w:val="en-US" w:eastAsia="zh-CN"/>
        </w:rPr>
        <w:t>国家、省、市、区</w:t>
      </w:r>
      <w:r>
        <w:rPr>
          <w:rFonts w:hint="eastAsia" w:ascii="仿宋_GB2312" w:hAnsi="仿宋_GB2312" w:eastAsia="仿宋_GB2312" w:cs="仿宋_GB2312"/>
        </w:rPr>
        <w:t>完全一致，守住了两条底线任务</w:t>
      </w:r>
      <w:r>
        <w:rPr>
          <w:rFonts w:hint="eastAsia" w:ascii="仿宋_GB2312" w:hAnsi="仿宋_GB2312" w:eastAsia="仿宋_GB2312" w:cs="仿宋_GB2312"/>
          <w:b/>
          <w:bCs/>
        </w:rPr>
        <w:t>。 花都区规划独有的10项指标</w:t>
      </w:r>
      <w:r>
        <w:rPr>
          <w:rFonts w:hint="eastAsia" w:ascii="仿宋_GB2312" w:hAnsi="仿宋_GB2312" w:eastAsia="仿宋_GB2312" w:cs="仿宋_GB2312"/>
        </w:rPr>
        <w:t>：</w:t>
      </w:r>
      <w:r>
        <w:rPr>
          <w:rFonts w:hint="eastAsia" w:ascii="仿宋_GB2312" w:hAnsi="仿宋_GB2312" w:eastAsia="仿宋_GB2312" w:cs="仿宋_GB2312"/>
          <w:b/>
          <w:bCs/>
        </w:rPr>
        <w:t>一是突出水产养殖与尾水治理</w:t>
      </w:r>
      <w:r>
        <w:rPr>
          <w:rFonts w:hint="eastAsia" w:ascii="仿宋_GB2312" w:hAnsi="仿宋_GB2312" w:eastAsia="仿宋_GB2312" w:cs="仿宋_GB2312"/>
        </w:rPr>
        <w:t>（养殖水面、尾水处理设施鱼塘、畜禽粪污利用共3项），呼应花都6.86万亩养殖水面的产业本底；</w:t>
      </w:r>
      <w:r>
        <w:rPr>
          <w:rFonts w:hint="eastAsia" w:ascii="仿宋_GB2312" w:hAnsi="仿宋_GB2312" w:eastAsia="仿宋_GB2312" w:cs="仿宋_GB2312"/>
          <w:b/>
          <w:bCs/>
        </w:rPr>
        <w:t>二是突出乡村建设与集体经济</w:t>
      </w:r>
      <w:r>
        <w:rPr>
          <w:rFonts w:hint="eastAsia" w:ascii="仿宋_GB2312" w:hAnsi="仿宋_GB2312" w:eastAsia="仿宋_GB2312" w:cs="仿宋_GB2312"/>
        </w:rPr>
        <w:t>（典型村、镇村片区组团、村庄绿化、农村集体总收入共4项），直接承接区</w:t>
      </w:r>
      <w:r>
        <w:rPr>
          <w:rFonts w:hint="eastAsia" w:ascii="仿宋_GB2312" w:hAnsi="仿宋_GB2312" w:eastAsia="仿宋_GB2312" w:cs="仿宋_GB2312"/>
          <w:lang w:eastAsia="zh-CN"/>
        </w:rPr>
        <w:t>“</w:t>
      </w:r>
      <w:r>
        <w:rPr>
          <w:rFonts w:hint="eastAsia" w:ascii="仿宋_GB2312" w:hAnsi="仿宋_GB2312" w:eastAsia="仿宋_GB2312" w:cs="仿宋_GB2312"/>
        </w:rPr>
        <w:t>百千万工程</w:t>
      </w:r>
      <w:r>
        <w:rPr>
          <w:rFonts w:hint="eastAsia" w:ascii="仿宋_GB2312" w:hAnsi="仿宋_GB2312" w:eastAsia="仿宋_GB2312" w:cs="仿宋_GB2312"/>
          <w:lang w:eastAsia="zh-CN"/>
        </w:rPr>
        <w:t>”</w:t>
      </w:r>
      <w:r>
        <w:rPr>
          <w:rFonts w:hint="eastAsia" w:ascii="仿宋_GB2312" w:hAnsi="仿宋_GB2312" w:eastAsia="仿宋_GB2312" w:cs="仿宋_GB2312"/>
        </w:rPr>
        <w:t>和镇村片区组团部署；</w:t>
      </w:r>
      <w:r>
        <w:rPr>
          <w:rFonts w:hint="eastAsia" w:ascii="仿宋_GB2312" w:hAnsi="仿宋_GB2312" w:eastAsia="仿宋_GB2312" w:cs="仿宋_GB2312"/>
          <w:b/>
          <w:bCs/>
        </w:rPr>
        <w:t>三是保留农业生产信息化率</w:t>
      </w:r>
      <w:r>
        <w:rPr>
          <w:rFonts w:hint="eastAsia" w:ascii="仿宋_GB2312" w:hAnsi="仿宋_GB2312" w:eastAsia="仿宋_GB2312" w:cs="仿宋_GB2312"/>
        </w:rPr>
        <w:t>，呼应农业新质生产力培育方向。</w:t>
      </w:r>
      <w:r>
        <w:rPr>
          <w:rFonts w:hint="eastAsia" w:ascii="黑体" w:hAnsi="黑体" w:eastAsia="黑体" w:cs="黑体"/>
        </w:rPr>
        <w:t>在重点任务上</w:t>
      </w:r>
      <w:r>
        <w:rPr>
          <w:rFonts w:hint="eastAsia" w:ascii="仿宋_GB2312" w:hAnsi="仿宋_GB2312" w:eastAsia="仿宋_GB2312" w:cs="仿宋_GB2312"/>
        </w:rPr>
        <w:t>，全面对应国家《规划》任务框架，逐项细化落实省、市部署：承接市“千百十亿”产业集群布局，将精品花卉、生态畜禽、优质蔬菜等市级集群任务细化为花都5个10亿级特色产业集群；承接市现代设施农业创新引领区建设部署，专章推进“2+10+N”梯度培育体系建设；全面落实区《纲要》第三十三章“扎实推进乡村全面振兴”及专栏18确定的盆景、花卉、渔业、果蔬、畜禽五大重点发展领域，做到与国家、省、市、区规划上下贯通、口径一致。</w:t>
      </w:r>
      <w:r>
        <w:rPr>
          <w:rFonts w:hint="eastAsia" w:ascii="黑体" w:hAnsi="黑体" w:eastAsia="黑体" w:cs="黑体"/>
          <w:lang w:val="en-US" w:eastAsia="zh-CN"/>
        </w:rPr>
        <w:t>专栏设置上</w:t>
      </w:r>
      <w:r>
        <w:rPr>
          <w:rFonts w:hint="eastAsia" w:ascii="仿宋_GB2312" w:hAnsi="仿宋_GB2312" w:eastAsia="仿宋_GB2312" w:cs="仿宋_GB2312"/>
          <w:lang w:val="en-US" w:eastAsia="zh-CN"/>
        </w:rPr>
        <w:t>，结合花都实际，设置8个专栏</w:t>
      </w:r>
      <w:r>
        <w:rPr>
          <w:rFonts w:hint="eastAsia" w:ascii="仿宋_GB2312" w:hAnsi="仿宋_GB2312" w:eastAsia="仿宋_GB2312" w:cs="仿宋_GB2312"/>
        </w:rPr>
        <w:t>（专栏1为指标表、专栏2—7为六大工程、专栏8为镇街发展指引）</w:t>
      </w:r>
      <w:r>
        <w:rPr>
          <w:rFonts w:hint="eastAsia" w:ascii="仿宋_GB2312" w:hAnsi="仿宋_GB2312" w:eastAsia="仿宋_GB2312" w:cs="仿宋_GB2312"/>
          <w:lang w:eastAsia="zh-CN"/>
        </w:rPr>
        <w:t>，</w:t>
      </w:r>
      <w:r>
        <w:rPr>
          <w:rFonts w:hint="eastAsia" w:ascii="仿宋_GB2312" w:hAnsi="仿宋_GB2312" w:eastAsia="仿宋_GB2312" w:cs="仿宋_GB2312"/>
          <w:lang w:val="en-US" w:eastAsia="zh-CN"/>
        </w:rPr>
        <w:t>与上位规划体例一致</w:t>
      </w:r>
      <w:r>
        <w:rPr>
          <w:rFonts w:hint="eastAsia" w:ascii="仿宋_GB2312" w:hAnsi="仿宋_GB2312" w:eastAsia="仿宋_GB2312" w:cs="仿宋_GB2312"/>
          <w:lang w:eastAsia="zh-CN"/>
        </w:rPr>
        <w:t>。</w:t>
      </w:r>
      <w:r>
        <w:rPr>
          <w:rFonts w:hint="eastAsia" w:ascii="仿宋_GB2312" w:hAnsi="仿宋_GB2312" w:eastAsia="仿宋_GB2312" w:cs="仿宋_GB2312"/>
          <w:lang w:val="en-US" w:eastAsia="zh-CN"/>
        </w:rPr>
        <w:t>且突出</w:t>
      </w:r>
      <w:r>
        <w:rPr>
          <w:rFonts w:hint="eastAsia" w:ascii="仿宋_GB2312" w:hAnsi="仿宋_GB2312" w:eastAsia="仿宋_GB2312" w:cs="仿宋_GB2312"/>
        </w:rPr>
        <w:t>地方特色内容</w:t>
      </w:r>
      <w:r>
        <w:rPr>
          <w:rFonts w:hint="eastAsia" w:ascii="仿宋_GB2312" w:hAnsi="仿宋_GB2312" w:eastAsia="仿宋_GB2312" w:cs="仿宋_GB2312"/>
          <w:lang w:eastAsia="zh-CN"/>
        </w:rPr>
        <w:t>，</w:t>
      </w:r>
      <w:r>
        <w:rPr>
          <w:rFonts w:hint="eastAsia" w:ascii="仿宋_GB2312" w:hAnsi="仿宋_GB2312" w:eastAsia="仿宋_GB2312" w:cs="仿宋_GB2312"/>
        </w:rPr>
        <w:t>花都区专栏突出宠物经济、盆景产业、蓝莓智慧产业园等空港经济与本地特色载体</w:t>
      </w:r>
      <w:r>
        <w:rPr>
          <w:rFonts w:hint="eastAsia" w:ascii="仿宋_GB2312" w:hAnsi="仿宋_GB2312" w:eastAsia="仿宋_GB2312" w:cs="仿宋_GB2312"/>
          <w:lang w:eastAsia="zh-CN"/>
        </w:rPr>
        <w:t>。</w:t>
      </w:r>
    </w:p>
    <w:p w14:paraId="71156DC4">
      <w:pPr>
        <w:jc w:val="center"/>
        <w:rPr>
          <w:rFonts w:hint="eastAsia" w:ascii="黑体" w:hAnsi="黑体" w:eastAsia="黑体" w:cs="黑体"/>
          <w:b w:val="0"/>
          <w:bCs/>
          <w:color w:val="auto"/>
          <w:sz w:val="24"/>
          <w:szCs w:val="24"/>
        </w:rPr>
      </w:pPr>
    </w:p>
    <w:p w14:paraId="1280533A">
      <w:pPr>
        <w:jc w:val="center"/>
        <w:rPr>
          <w:rFonts w:hint="eastAsia" w:ascii="黑体" w:hAnsi="黑体" w:eastAsia="黑体" w:cs="黑体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24"/>
          <w:szCs w:val="24"/>
        </w:rPr>
        <w:t xml:space="preserve">表1 </w:t>
      </w:r>
      <w:r>
        <w:rPr>
          <w:rFonts w:hint="eastAsia" w:ascii="黑体" w:hAnsi="黑体" w:eastAsia="黑体" w:cs="黑体"/>
          <w:b w:val="0"/>
          <w:bCs/>
          <w:color w:val="auto"/>
          <w:sz w:val="24"/>
          <w:szCs w:val="24"/>
          <w:lang w:val="en-US" w:eastAsia="zh-CN"/>
        </w:rPr>
        <w:t>国家、省、市、区</w:t>
      </w:r>
      <w:r>
        <w:rPr>
          <w:rFonts w:hint="eastAsia" w:ascii="黑体" w:hAnsi="黑体" w:eastAsia="黑体" w:cs="黑体"/>
          <w:b w:val="0"/>
          <w:bCs/>
          <w:color w:val="auto"/>
          <w:sz w:val="24"/>
          <w:szCs w:val="24"/>
          <w:lang w:eastAsia="zh-CN"/>
        </w:rPr>
        <w:t>“</w:t>
      </w:r>
      <w:r>
        <w:rPr>
          <w:rFonts w:hint="eastAsia" w:ascii="黑体" w:hAnsi="黑体" w:eastAsia="黑体" w:cs="黑体"/>
          <w:b w:val="0"/>
          <w:bCs/>
          <w:color w:val="auto"/>
          <w:sz w:val="24"/>
          <w:szCs w:val="24"/>
          <w:lang w:val="en-US" w:eastAsia="zh-CN"/>
        </w:rPr>
        <w:t>十五五</w:t>
      </w:r>
      <w:r>
        <w:rPr>
          <w:rFonts w:hint="eastAsia" w:ascii="黑体" w:hAnsi="黑体" w:eastAsia="黑体" w:cs="黑体"/>
          <w:b w:val="0"/>
          <w:bCs/>
          <w:color w:val="auto"/>
          <w:sz w:val="24"/>
          <w:szCs w:val="24"/>
          <w:lang w:eastAsia="zh-CN"/>
        </w:rPr>
        <w:t>”</w:t>
      </w:r>
      <w:r>
        <w:rPr>
          <w:rFonts w:hint="eastAsia" w:ascii="黑体" w:hAnsi="黑体" w:eastAsia="黑体" w:cs="黑体"/>
          <w:b w:val="0"/>
          <w:bCs/>
          <w:color w:val="auto"/>
          <w:sz w:val="24"/>
          <w:szCs w:val="24"/>
        </w:rPr>
        <w:t>规划主要指标设置情况</w:t>
      </w:r>
      <w:r>
        <w:rPr>
          <w:rFonts w:hint="eastAsia" w:ascii="黑体" w:hAnsi="黑体" w:eastAsia="黑体" w:cs="黑体"/>
          <w:b w:val="0"/>
          <w:bCs/>
          <w:color w:val="auto"/>
          <w:sz w:val="24"/>
          <w:szCs w:val="24"/>
          <w:lang w:val="en-US" w:eastAsia="zh-CN"/>
        </w:rPr>
        <w:t>对比</w:t>
      </w:r>
    </w:p>
    <w:tbl>
      <w:tblPr>
        <w:tblStyle w:val="4"/>
        <w:tblW w:w="0" w:type="auto"/>
        <w:jc w:val="center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27"/>
        <w:gridCol w:w="1901"/>
        <w:gridCol w:w="1560"/>
        <w:gridCol w:w="1618"/>
        <w:gridCol w:w="1299"/>
      </w:tblGrid>
      <w:tr w14:paraId="4813F40A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tblHeader/>
          <w:jc w:val="center"/>
        </w:trPr>
        <w:tc>
          <w:tcPr>
            <w:tcW w:w="192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vAlign w:val="center"/>
          </w:tcPr>
          <w:p w14:paraId="485ED207">
            <w:pPr>
              <w:jc w:val="center"/>
              <w:rPr>
                <w:rFonts w:hint="default" w:ascii="Times New Roman" w:hAnsi="Times New Roman" w:eastAsia="宋体" w:cs="Times New Roman"/>
                <w:b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auto"/>
                <w:sz w:val="24"/>
                <w:szCs w:val="24"/>
              </w:rPr>
              <w:t>规划文本</w:t>
            </w:r>
          </w:p>
        </w:tc>
        <w:tc>
          <w:tcPr>
            <w:tcW w:w="190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vAlign w:val="center"/>
          </w:tcPr>
          <w:p w14:paraId="7FEE8B09">
            <w:pPr>
              <w:jc w:val="center"/>
              <w:rPr>
                <w:rFonts w:hint="default" w:ascii="Times New Roman" w:hAnsi="Times New Roman" w:eastAsia="宋体" w:cs="Times New Roman"/>
                <w:b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auto"/>
                <w:sz w:val="24"/>
                <w:szCs w:val="24"/>
              </w:rPr>
              <w:t>指标总数</w:t>
            </w:r>
          </w:p>
        </w:tc>
        <w:tc>
          <w:tcPr>
            <w:tcW w:w="15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vAlign w:val="center"/>
          </w:tcPr>
          <w:p w14:paraId="14E7C3B0">
            <w:pPr>
              <w:jc w:val="center"/>
              <w:rPr>
                <w:rFonts w:hint="default" w:ascii="Times New Roman" w:hAnsi="Times New Roman" w:eastAsia="宋体" w:cs="Times New Roman"/>
                <w:b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auto"/>
                <w:sz w:val="24"/>
                <w:szCs w:val="24"/>
              </w:rPr>
              <w:t>约束性</w:t>
            </w:r>
          </w:p>
        </w:tc>
        <w:tc>
          <w:tcPr>
            <w:tcW w:w="161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vAlign w:val="center"/>
          </w:tcPr>
          <w:p w14:paraId="2DDF1A68">
            <w:pPr>
              <w:jc w:val="center"/>
              <w:rPr>
                <w:rFonts w:hint="default" w:ascii="Times New Roman" w:hAnsi="Times New Roman" w:eastAsia="宋体" w:cs="Times New Roman"/>
                <w:b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auto"/>
                <w:sz w:val="24"/>
                <w:szCs w:val="24"/>
              </w:rPr>
              <w:t>预期性</w:t>
            </w:r>
          </w:p>
        </w:tc>
        <w:tc>
          <w:tcPr>
            <w:tcW w:w="129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vAlign w:val="center"/>
          </w:tcPr>
          <w:p w14:paraId="3DE4C2DA">
            <w:pPr>
              <w:jc w:val="center"/>
              <w:rPr>
                <w:rFonts w:hint="default" w:ascii="Times New Roman" w:hAnsi="Times New Roman" w:eastAsia="宋体" w:cs="Times New Roman"/>
                <w:b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auto"/>
                <w:sz w:val="24"/>
                <w:szCs w:val="24"/>
                <w:lang w:val="en-US" w:eastAsia="zh-CN"/>
              </w:rPr>
              <w:t>共性指标</w:t>
            </w:r>
          </w:p>
        </w:tc>
      </w:tr>
      <w:tr w14:paraId="7F1E31B3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192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vAlign w:val="center"/>
          </w:tcPr>
          <w:p w14:paraId="4FCB154F"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4"/>
                <w:szCs w:val="24"/>
              </w:rPr>
              <w:t>花都区</w:t>
            </w:r>
          </w:p>
        </w:tc>
        <w:tc>
          <w:tcPr>
            <w:tcW w:w="190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vAlign w:val="center"/>
          </w:tcPr>
          <w:p w14:paraId="469386ED"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15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vAlign w:val="center"/>
          </w:tcPr>
          <w:p w14:paraId="204B0ED8"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61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vAlign w:val="center"/>
          </w:tcPr>
          <w:p w14:paraId="1B328CA2"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129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vAlign w:val="center"/>
          </w:tcPr>
          <w:p w14:paraId="302CC726"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4"/>
                <w:szCs w:val="24"/>
                <w:lang w:eastAsia="zh-CN"/>
              </w:rPr>
              <w:t>——</w:t>
            </w:r>
          </w:p>
        </w:tc>
      </w:tr>
      <w:tr w14:paraId="5E829556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192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vAlign w:val="center"/>
          </w:tcPr>
          <w:p w14:paraId="60362CB3"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4"/>
                <w:szCs w:val="24"/>
              </w:rPr>
              <w:t>广州市</w:t>
            </w:r>
          </w:p>
        </w:tc>
        <w:tc>
          <w:tcPr>
            <w:tcW w:w="190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vAlign w:val="center"/>
          </w:tcPr>
          <w:p w14:paraId="5BD7EE75"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5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vAlign w:val="center"/>
          </w:tcPr>
          <w:p w14:paraId="34BE1427"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61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vAlign w:val="center"/>
          </w:tcPr>
          <w:p w14:paraId="2C5EA5E1"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129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vAlign w:val="center"/>
          </w:tcPr>
          <w:p w14:paraId="5549E4CF"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</w:tr>
      <w:tr w14:paraId="38E9AAFA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192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vAlign w:val="center"/>
          </w:tcPr>
          <w:p w14:paraId="49AB5B2B"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广东省</w:t>
            </w:r>
          </w:p>
        </w:tc>
        <w:tc>
          <w:tcPr>
            <w:tcW w:w="190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vAlign w:val="center"/>
          </w:tcPr>
          <w:p w14:paraId="40803B61"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15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vAlign w:val="center"/>
          </w:tcPr>
          <w:p w14:paraId="1A24FCBE"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61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vAlign w:val="center"/>
          </w:tcPr>
          <w:p w14:paraId="15005AFC"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129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vAlign w:val="center"/>
          </w:tcPr>
          <w:p w14:paraId="2A2D8533"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</w:tr>
      <w:tr w14:paraId="121C1CDA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192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vAlign w:val="center"/>
          </w:tcPr>
          <w:p w14:paraId="6307FCAE"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4"/>
                <w:szCs w:val="24"/>
              </w:rPr>
              <w:t>国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4"/>
                <w:szCs w:val="24"/>
              </w:rPr>
              <w:t>家</w:t>
            </w:r>
          </w:p>
        </w:tc>
        <w:tc>
          <w:tcPr>
            <w:tcW w:w="190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vAlign w:val="center"/>
          </w:tcPr>
          <w:p w14:paraId="6A4EA77A"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5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vAlign w:val="center"/>
          </w:tcPr>
          <w:p w14:paraId="47B67C51"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61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vAlign w:val="center"/>
          </w:tcPr>
          <w:p w14:paraId="211D87D7"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29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vAlign w:val="center"/>
          </w:tcPr>
          <w:p w14:paraId="7A49EFF8"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</w:tr>
    </w:tbl>
    <w:p w14:paraId="7C0863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Chars="200"/>
        <w:textAlignment w:val="auto"/>
        <w:rPr>
          <w:rFonts w:hint="eastAsia" w:ascii="仿宋_GB2312" w:hAnsi="仿宋_GB2312" w:eastAsia="仿宋_GB2312" w:cs="仿宋_GB2312"/>
          <w:sz w:val="13"/>
          <w:szCs w:val="13"/>
          <w:lang w:val="en-US" w:eastAsia="zh-CN"/>
        </w:rPr>
      </w:pPr>
    </w:p>
    <w:p w14:paraId="58AED3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（二）聚焦产业发展。</w:t>
      </w:r>
      <w:r>
        <w:rPr>
          <w:rFonts w:hint="eastAsia" w:ascii="仿宋_GB2312" w:hAnsi="仿宋_GB2312" w:eastAsia="仿宋_GB2312" w:cs="仿宋_GB2312"/>
        </w:rPr>
        <w:t>立足资源禀赋、产业基础和比较优势，集中部署</w:t>
      </w:r>
      <w:r>
        <w:rPr>
          <w:rFonts w:hint="eastAsia" w:ascii="仿宋_GB2312" w:hAnsi="仿宋_GB2312" w:eastAsia="仿宋_GB2312" w:cs="仿宋_GB2312"/>
          <w:lang w:val="en-US" w:eastAsia="zh-CN"/>
        </w:rPr>
        <w:t>壮大</w:t>
      </w:r>
      <w:r>
        <w:rPr>
          <w:rFonts w:hint="eastAsia" w:ascii="仿宋_GB2312" w:hAnsi="仿宋_GB2312" w:eastAsia="仿宋_GB2312" w:cs="仿宋_GB2312"/>
        </w:rPr>
        <w:t>盆景、花卉、渔业、果蔬、畜禽5个10亿级特色产业集群，逐一明确主攻方向和重点抓手，推动“瑞岭盆景”“炭步槟榔香芋”“花都蓝莓”等特色品牌做大做强，加快把农业建成现代化大产业。</w:t>
      </w:r>
    </w:p>
    <w:p w14:paraId="42754B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（三）突出设施农业。</w:t>
      </w:r>
      <w:r>
        <w:rPr>
          <w:rFonts w:hint="eastAsia" w:ascii="仿宋_GB2312" w:hAnsi="仿宋_GB2312" w:eastAsia="仿宋_GB2312" w:cs="仿宋_GB2312"/>
        </w:rPr>
        <w:t>把现代设施农业作为主攻方向，按照布局集中化、用地集约化、功能复合化、城乡融合化要求，构建“2+10+N”梯度培育体系，健全用地等要素保障机制，以项目化、清单化方式推进设施农业建设，着力打造粤港澳大湾区现代设施农业创新高地。</w:t>
      </w:r>
    </w:p>
    <w:p w14:paraId="16D6D3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（四）彰显花都特色。</w:t>
      </w:r>
      <w:r>
        <w:rPr>
          <w:rFonts w:hint="eastAsia" w:ascii="仿宋_GB2312" w:hAnsi="仿宋_GB2312" w:eastAsia="仿宋_GB2312" w:cs="仿宋_GB2312"/>
        </w:rPr>
        <w:t>充分发挥空港枢纽、市场区位和科创资源优势，前瞻布局生物农业、农业低空经济、智能装备、宠物经济等新兴产业和未来产业；依托“四院N基地”科技支撑体系深化产学研合作，推动中国热带农业科学院广州创新中心建设，努力在全市农业农村现代化进程中走前列、作示范。</w:t>
      </w:r>
    </w:p>
    <w:p w14:paraId="0D1247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以上就是《规划》的主要内容。</w:t>
      </w:r>
      <w:r>
        <w:rPr>
          <w:rFonts w:hint="eastAsia" w:ascii="仿宋_GB2312" w:hAnsi="仿宋_GB2312" w:eastAsia="仿宋_GB2312" w:cs="仿宋_GB2312"/>
        </w:rPr>
        <w:t>下一步，</w:t>
      </w:r>
      <w:r>
        <w:rPr>
          <w:rFonts w:hint="eastAsia" w:ascii="仿宋_GB2312" w:hAnsi="仿宋_GB2312" w:eastAsia="仿宋_GB2312" w:cs="仿宋_GB2312"/>
          <w:lang w:val="en-US" w:eastAsia="zh-CN"/>
        </w:rPr>
        <w:t>我们</w:t>
      </w:r>
      <w:r>
        <w:rPr>
          <w:rFonts w:hint="eastAsia" w:ascii="仿宋_GB2312" w:hAnsi="仿宋_GB2312" w:eastAsia="仿宋_GB2312" w:cs="仿宋_GB2312"/>
        </w:rPr>
        <w:t>将结合</w:t>
      </w:r>
      <w:r>
        <w:rPr>
          <w:rFonts w:hint="eastAsia" w:ascii="仿宋_GB2312" w:hAnsi="仿宋_GB2312" w:eastAsia="仿宋_GB2312" w:cs="仿宋_GB2312"/>
          <w:lang w:val="en-US" w:eastAsia="zh-CN"/>
        </w:rPr>
        <w:t>今天的审稿</w:t>
      </w:r>
      <w:r>
        <w:rPr>
          <w:rFonts w:hint="eastAsia" w:ascii="仿宋_GB2312" w:hAnsi="仿宋_GB2312" w:eastAsia="仿宋_GB2312" w:cs="仿宋_GB2312"/>
        </w:rPr>
        <w:t>意见</w:t>
      </w:r>
      <w:r>
        <w:rPr>
          <w:rFonts w:hint="eastAsia" w:ascii="仿宋_GB2312" w:hAnsi="仿宋_GB2312" w:eastAsia="仿宋_GB2312" w:cs="仿宋_GB2312"/>
          <w:lang w:eastAsia="zh-CN"/>
        </w:rPr>
        <w:t>，</w:t>
      </w:r>
      <w:r>
        <w:rPr>
          <w:rFonts w:hint="eastAsia" w:ascii="仿宋_GB2312" w:hAnsi="仿宋_GB2312" w:eastAsia="仿宋_GB2312" w:cs="仿宋_GB2312"/>
          <w:lang w:val="en-US" w:eastAsia="zh-CN"/>
        </w:rPr>
        <w:t>继续做好</w:t>
      </w:r>
      <w:r>
        <w:rPr>
          <w:rFonts w:hint="eastAsia" w:ascii="仿宋_GB2312" w:hAnsi="仿宋_GB2312" w:eastAsia="仿宋_GB2312" w:cs="仿宋_GB2312"/>
        </w:rPr>
        <w:t>修改完善，</w:t>
      </w:r>
      <w:r>
        <w:rPr>
          <w:rFonts w:hint="eastAsia" w:ascii="仿宋_GB2312" w:hAnsi="仿宋_GB2312" w:eastAsia="仿宋_GB2312" w:cs="仿宋_GB2312"/>
          <w:lang w:val="en-US" w:eastAsia="zh-CN"/>
        </w:rPr>
        <w:t>争取在11月底前</w:t>
      </w:r>
      <w:r>
        <w:rPr>
          <w:rFonts w:hint="eastAsia" w:ascii="仿宋_GB2312" w:hAnsi="仿宋_GB2312" w:eastAsia="仿宋_GB2312" w:cs="仿宋_GB2312"/>
        </w:rPr>
        <w:t>按程序报区政府审定印发，</w:t>
      </w:r>
      <w:r>
        <w:rPr>
          <w:rFonts w:hint="eastAsia" w:ascii="仿宋_GB2312" w:hAnsi="仿宋_GB2312" w:eastAsia="仿宋_GB2312" w:cs="仿宋_GB2312"/>
          <w:lang w:val="en-US" w:eastAsia="zh-CN"/>
        </w:rPr>
        <w:t>汇报完毕，请大家多提宝贵意见，谢谢。</w:t>
      </w:r>
    </w:p>
    <w:p w14:paraId="23EB6F0C"/>
    <w:sectPr>
      <w:footerReference r:id="rId3" w:type="default"/>
      <w:pgMar w:top="1213" w:right="1633" w:bottom="1213" w:left="1633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0" w:num="1"/>
      <w:rtlGutter w:val="0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0E5345">
    <w:pPr>
      <w:pStyle w:val="2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6A8228F1">
                <w:pPr>
                  <w:pStyle w:val="2"/>
                  <w:rPr>
                    <w:rFonts w:hint="default" w:ascii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hint="default" w:ascii="Times New Roman" w:hAnsi="Times New Roman" w:cs="Times New Roman"/>
                    <w:sz w:val="28"/>
                    <w:szCs w:val="28"/>
                  </w:rPr>
                  <w:t xml:space="preserve">— </w:t>
                </w:r>
                <w:r>
                  <w:rPr>
                    <w:rFonts w:hint="default" w:ascii="Times New Roman" w:hAnsi="Times New Roman" w:cs="Times New Roman"/>
                    <w:sz w:val="28"/>
                    <w:szCs w:val="28"/>
                  </w:rPr>
                  <w:fldChar w:fldCharType="begin"/>
                </w:r>
                <w:r>
                  <w:rPr>
                    <w:rFonts w:hint="default" w:ascii="Times New Roman" w:hAnsi="Times New Roman" w:cs="Times New Roman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default" w:ascii="Times New Roman" w:hAnsi="Times New Roman" w:cs="Times New Roman"/>
                    <w:sz w:val="28"/>
                    <w:szCs w:val="28"/>
                  </w:rPr>
                  <w:fldChar w:fldCharType="separate"/>
                </w:r>
                <w:r>
                  <w:rPr>
                    <w:rFonts w:hint="default" w:ascii="Times New Roman" w:hAnsi="Times New Roman" w:cs="Times New Roman"/>
                    <w:sz w:val="28"/>
                    <w:szCs w:val="28"/>
                  </w:rPr>
                  <w:t>1</w:t>
                </w:r>
                <w:r>
                  <w:rPr>
                    <w:rFonts w:hint="default" w:ascii="Times New Roman" w:hAnsi="Times New Roman" w:cs="Times New Roman"/>
                    <w:sz w:val="28"/>
                    <w:szCs w:val="28"/>
                  </w:rPr>
                  <w:fldChar w:fldCharType="end"/>
                </w:r>
                <w:r>
                  <w:rPr>
                    <w:rFonts w:hint="default" w:ascii="Times New Roman" w:hAnsi="Times New Roman" w:cs="Times New Roman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420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00000"/>
    <w:rsid w:val="069C7A9E"/>
    <w:rsid w:val="0F5016BA"/>
    <w:rsid w:val="0F5337A0"/>
    <w:rsid w:val="14AF0EEB"/>
    <w:rsid w:val="14FE41AE"/>
    <w:rsid w:val="158C299F"/>
    <w:rsid w:val="18F4642E"/>
    <w:rsid w:val="3A3F02FA"/>
    <w:rsid w:val="40CB0B39"/>
    <w:rsid w:val="40E37728"/>
    <w:rsid w:val="50506965"/>
    <w:rsid w:val="51293C30"/>
    <w:rsid w:val="548D72EB"/>
    <w:rsid w:val="652A599B"/>
    <w:rsid w:val="71A64755"/>
    <w:rsid w:val="72A47637"/>
    <w:rsid w:val="7B637EF6"/>
    <w:rsid w:val="7C776EA4"/>
    <w:rsid w:val="7D1C4721"/>
    <w:rsid w:val="7EAE557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仿宋" w:hAnsi="仿宋" w:eastAsia="仿宋" w:cs="仿宋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仿宋"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2246</Words>
  <Characters>2320</Characters>
  <TotalTime>5</TotalTime>
  <ScaleCrop>false</ScaleCrop>
  <LinksUpToDate>false</LinksUpToDate>
  <CharactersWithSpaces>2323</CharactersWithSpaces>
  <Application>WPS Office_12.1.0.19302_F1E327BC-269C-435d-A152-05C5408002CA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2026-10-15T08:48:00Z</dcterms:created>
  <dc:creator>Administrator</dc:creator>
  <cp:lastModifiedBy>罗丽霞</cp:lastModifiedBy>
  <cp:lastPrinted>2026-10-15T03:46:00Z</cp:lastPrinted>
  <dcterms:modified xsi:type="dcterms:W3CDTF">2026-10-16T10:10:42Z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eyJoZGlkIjoiOTUwNmRhN2YxMTdiNzBiMWFhOTdjYzFmNmJiOTQzNzUiLCJ1c2VySWQiOiIxNjU3OTM2NDA3In0=</vt:lpwstr>
  </property>
  <property fmtid="{D5CDD505-2E9C-101B-9397-08002B2CF9AE}" pid="3" name="KSOProductBuildVer">
    <vt:lpwstr>2052-12.1.0.19302</vt:lpwstr>
  </property>
  <property fmtid="{D5CDD505-2E9C-101B-9397-08002B2CF9AE}" pid="4" name="ICV">
    <vt:lpwstr>A27689C99EE24870BA6751CB6395C251_12</vt:lpwstr>
  </property>
</Properties>
</file>