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bCs/>
          <w:color w:val="000000"/>
          <w:sz w:val="44"/>
          <w:szCs w:val="44"/>
        </w:rPr>
        <w:t>关</w:t>
      </w:r>
      <w:r>
        <w:rPr>
          <w:rFonts w:hint="default" w:ascii="Times New Roman" w:hAnsi="Times New Roman" w:eastAsia="方正小标宋简体" w:cs="Times New Roman"/>
          <w:bCs/>
          <w:color w:val="auto"/>
          <w:sz w:val="44"/>
          <w:szCs w:val="44"/>
        </w:rPr>
        <w:t>于</w:t>
      </w:r>
      <w:r>
        <w:rPr>
          <w:rFonts w:hint="default" w:ascii="Times New Roman" w:hAnsi="Times New Roman" w:eastAsia="方正小标宋简体" w:cs="Times New Roman"/>
          <w:color w:val="auto"/>
          <w:sz w:val="44"/>
          <w:szCs w:val="44"/>
          <w:lang w:val="en-US" w:eastAsia="zh-CN"/>
        </w:rPr>
        <w:t>广州市花都区2026年度第七十四批次城镇建设用地（体育公园中一地块〔三期〕）</w:t>
      </w:r>
    </w:p>
    <w:p>
      <w:pPr>
        <w:spacing w:line="620" w:lineRule="exact"/>
        <w:jc w:val="center"/>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项目被征地农民养老保障方案</w:t>
      </w:r>
    </w:p>
    <w:p>
      <w:pPr>
        <w:pStyle w:val="2"/>
        <w:jc w:val="center"/>
        <w:rPr>
          <w:rFonts w:hint="default" w:ascii="Times New Roman" w:hAnsi="Times New Roman" w:eastAsia="仿宋_GB2312" w:cs="Times New Roman"/>
          <w:color w:val="auto"/>
          <w:sz w:val="24"/>
          <w:szCs w:val="24"/>
          <w:lang w:eastAsia="zh-CN"/>
        </w:rPr>
      </w:pP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default" w:ascii="Times New Roman" w:hAnsi="Times New Roman" w:cs="Times New Roman"/>
          <w:color w:val="auto"/>
          <w:kern w:val="0"/>
          <w:shd w:val="clear" w:color="auto" w:fill="FFFFFF"/>
          <w:lang w:eastAsia="zh-CN" w:bidi="ar"/>
        </w:rPr>
        <w:t>、《广东省</w:t>
      </w:r>
      <w:r>
        <w:rPr>
          <w:rFonts w:hint="default" w:ascii="Times New Roman" w:hAnsi="Times New Roman" w:cs="Times New Roman"/>
          <w:color w:val="auto"/>
          <w:kern w:val="0"/>
          <w:shd w:val="clear" w:color="auto" w:fill="FFFFFF"/>
          <w:lang w:val="en-US" w:eastAsia="zh-CN" w:bidi="ar"/>
        </w:rPr>
        <w:t>人力资源社会保障厅</w:t>
      </w:r>
      <w:r>
        <w:rPr>
          <w:rFonts w:hint="default" w:ascii="Times New Roman" w:hAnsi="Times New Roman" w:cs="Times New Roman"/>
          <w:color w:val="auto"/>
          <w:kern w:val="0"/>
          <w:shd w:val="clear" w:color="auto" w:fill="FFFFFF"/>
          <w:lang w:eastAsia="zh-CN" w:bidi="ar"/>
        </w:rPr>
        <w:t>人社厅关于进一步做好被征地农民社会保障工作完善相关政策的通知》（粤人社规〔2025〕48号）</w:t>
      </w:r>
      <w:r>
        <w:rPr>
          <w:rFonts w:hint="default" w:ascii="Times New Roman" w:hAnsi="Times New Roman" w:cs="Times New Roman"/>
          <w:color w:val="auto"/>
          <w:kern w:val="0"/>
          <w:shd w:val="clear" w:color="auto" w:fill="FFFFFF"/>
          <w:lang w:bidi="ar"/>
        </w:rPr>
        <w:t>和《广州市人民政府办公厅转发关于进一步完善我省被征地农民养老保障政策意见的通知》（穗府办规〔2022〕3号）等有关规定，拟定</w:t>
      </w:r>
      <w:r>
        <w:rPr>
          <w:rFonts w:hint="default" w:ascii="Times New Roman" w:hAnsi="Times New Roman" w:cs="Times New Roman"/>
          <w:color w:val="auto"/>
          <w:lang w:val="en-US" w:eastAsia="zh-CN"/>
        </w:rPr>
        <w:t>广州市花都区2026年度第七十四批次城镇建设用地（体育公园中一地块〔三期〕）</w:t>
      </w:r>
      <w:r>
        <w:rPr>
          <w:rFonts w:hint="default" w:ascii="Times New Roman" w:hAnsi="Times New Roman" w:eastAsia="仿宋_GB2312" w:cs="Times New Roman"/>
          <w:color w:val="auto"/>
          <w:lang w:val="en-US" w:eastAsia="zh-CN"/>
        </w:rPr>
        <w:t>项目被征地农民养老保障方案如下：</w:t>
      </w: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广州市花都区2026年度第七十四批次城镇建设用地（体育公园中一地块〔三期〕）</w:t>
      </w:r>
      <w:r>
        <w:rPr>
          <w:rFonts w:hint="default" w:ascii="Times New Roman" w:hAnsi="Times New Roman" w:eastAsia="仿宋_GB2312" w:cs="Times New Roman"/>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val="en-US" w:eastAsia="zh-CN"/>
        </w:rPr>
        <w:t>花城街石岗村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w:t>
      </w:r>
      <w:r>
        <w:rPr>
          <w:rFonts w:hint="default" w:ascii="Times New Roman" w:hAnsi="Times New Roman" w:cs="Times New Roman"/>
          <w:color w:val="auto"/>
          <w:lang w:val="en-US" w:eastAsia="zh-CN"/>
        </w:rPr>
        <w:t>46.1655</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，征地双方尚未完成征地补偿安置协议签订。</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eastAsia" w:ascii="Times New Roman" w:hAnsi="Times New Roman" w:cs="Times New Roman"/>
          <w:color w:val="auto"/>
          <w:kern w:val="2"/>
          <w:shd w:val="clear" w:color="auto" w:fill="auto"/>
          <w:lang w:val="en-US" w:eastAsia="zh-CN" w:bidi="ar-SA"/>
        </w:rPr>
        <w:t>98.81</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pPr>
        <w:numPr>
          <w:ilvl w:val="0"/>
          <w:numId w:val="0"/>
        </w:numPr>
        <w:ind w:firstLine="640" w:firstLineChars="200"/>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pPr>
        <w:spacing w:line="560" w:lineRule="exact"/>
        <w:ind w:firstLine="640" w:firstLineChars="200"/>
        <w:rPr>
          <w:rFonts w:hint="default" w:ascii="Times New Roman" w:hAnsi="Times New Roman" w:cs="Times New Roman"/>
          <w:b w:val="0"/>
          <w:bCs w:val="0"/>
          <w:color w:val="auto"/>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w:t>
      </w:r>
    </w:p>
    <w:p>
      <w:pPr>
        <w:spacing w:line="560" w:lineRule="exact"/>
        <w:ind w:firstLine="640" w:firstLineChars="200"/>
        <w:rPr>
          <w:rFonts w:hint="default" w:ascii="Times New Roman" w:hAnsi="Times New Roman" w:cs="Times New Roman"/>
          <w:color w:val="auto"/>
          <w:lang w:val="en-US" w:eastAsia="zh-CN"/>
        </w:rPr>
      </w:pP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一</w:t>
      </w:r>
      <w:r>
        <w:rPr>
          <w:rFonts w:hint="default" w:ascii="Times New Roman" w:hAnsi="Times New Roman" w:cs="Times New Roman"/>
          <w:b w:val="0"/>
          <w:bCs/>
          <w:color w:val="auto"/>
          <w:lang w:eastAsia="zh-CN"/>
        </w:rPr>
        <w:t>）</w:t>
      </w:r>
      <w:r>
        <w:rPr>
          <w:rFonts w:hint="default" w:ascii="Times New Roman" w:hAnsi="Times New Roman" w:eastAsia="仿宋_GB2312" w:cs="Times New Roman"/>
          <w:b w:val="0"/>
          <w:bCs/>
          <w:color w:val="auto"/>
        </w:rPr>
        <w:t>征地社保</w:t>
      </w:r>
      <w:r>
        <w:rPr>
          <w:rFonts w:hint="default" w:ascii="Times New Roman" w:hAnsi="Times New Roman" w:cs="Times New Roman"/>
          <w:b w:val="0"/>
          <w:bCs/>
          <w:color w:val="auto"/>
        </w:rPr>
        <w:t>费</w:t>
      </w:r>
      <w:r>
        <w:rPr>
          <w:rFonts w:hint="default" w:ascii="Times New Roman" w:hAnsi="Times New Roman" w:cs="Times New Roman"/>
          <w:b w:val="0"/>
          <w:bCs/>
          <w:color w:val="auto"/>
        </w:rPr>
        <w:t>专款用于被征地农民</w:t>
      </w:r>
      <w:r>
        <w:rPr>
          <w:rFonts w:hint="default" w:ascii="Times New Roman" w:hAnsi="Times New Roman" w:cs="Times New Roman"/>
          <w:b w:val="0"/>
          <w:bCs/>
          <w:color w:val="auto"/>
          <w:lang w:val="en-US" w:eastAsia="zh-CN"/>
        </w:rPr>
        <w:t>的基本</w:t>
      </w:r>
      <w:r>
        <w:rPr>
          <w:rFonts w:hint="default" w:ascii="Times New Roman" w:hAnsi="Times New Roman" w:cs="Times New Roman"/>
          <w:b w:val="0"/>
          <w:bCs/>
          <w:color w:val="auto"/>
        </w:rPr>
        <w:t>养老保险</w:t>
      </w:r>
      <w:r>
        <w:rPr>
          <w:rFonts w:hint="default" w:ascii="Times New Roman" w:hAnsi="Times New Roman" w:cs="Times New Roman"/>
          <w:b w:val="0"/>
          <w:bCs/>
          <w:color w:val="auto"/>
          <w:lang w:val="en-US" w:eastAsia="zh-CN"/>
        </w:rPr>
        <w:t>缴费补贴。</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1、被征地农民</w:t>
      </w:r>
      <w:r>
        <w:rPr>
          <w:rFonts w:hint="default" w:ascii="Times New Roman" w:hAnsi="Times New Roman" w:cs="Times New Roman"/>
          <w:b w:val="0"/>
          <w:bCs/>
          <w:color w:val="auto"/>
          <w:lang w:eastAsia="zh-CN"/>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2、被征地农民</w:t>
      </w:r>
      <w:r>
        <w:rPr>
          <w:rFonts w:hint="default" w:ascii="Times New Roman" w:hAnsi="Times New Roman" w:cs="Times New Roman"/>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3、被征地农民</w:t>
      </w:r>
      <w:r>
        <w:rPr>
          <w:rFonts w:hint="default" w:ascii="Times New Roman" w:hAnsi="Times New Roman" w:cs="Times New Roman"/>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4、被征地农民</w:t>
      </w:r>
      <w:r>
        <w:rPr>
          <w:rFonts w:hint="default" w:ascii="Times New Roman" w:hAnsi="Times New Roman" w:cs="Times New Roman"/>
          <w:b w:val="0"/>
          <w:bCs/>
          <w:color w:val="auto"/>
          <w:lang w:eastAsia="zh-CN"/>
        </w:rPr>
        <w:t>已经领取城镇职工基本养老金的，将征地社保费一次性支付本人。</w:t>
      </w:r>
    </w:p>
    <w:p>
      <w:pPr>
        <w:spacing w:line="560" w:lineRule="exact"/>
        <w:ind w:firstLine="640" w:firstLineChars="200"/>
        <w:rPr>
          <w:rFonts w:hint="default" w:ascii="Times New Roman" w:hAnsi="Times New Roman" w:cs="Times New Roman"/>
          <w:color w:val="auto"/>
        </w:rPr>
      </w:pPr>
      <w:r>
        <w:rPr>
          <w:rFonts w:hint="default" w:ascii="Times New Roman" w:hAnsi="Times New Roman" w:cs="Times New Roman"/>
          <w:b w:val="0"/>
          <w:bCs w:val="0"/>
          <w:color w:val="auto"/>
          <w:lang w:val="en-US" w:eastAsia="zh-CN"/>
        </w:rPr>
        <w:t>（二）落实“</w:t>
      </w:r>
      <w:r>
        <w:rPr>
          <w:rFonts w:hint="default" w:ascii="Times New Roman" w:hAnsi="Times New Roman" w:eastAsia="仿宋_GB2312" w:cs="Times New Roman"/>
          <w:b w:val="0"/>
          <w:bCs w:val="0"/>
          <w:color w:val="auto"/>
        </w:rPr>
        <w:t>征地社保费与征地</w:t>
      </w:r>
      <w:r>
        <w:rPr>
          <w:rFonts w:hint="default" w:ascii="Times New Roman" w:hAnsi="Times New Roman" w:eastAsia="仿宋_GB2312" w:cs="Times New Roman"/>
          <w:b w:val="0"/>
          <w:bCs/>
          <w:color w:val="auto"/>
        </w:rPr>
        <w:t>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pPr>
        <w:pStyle w:val="2"/>
        <w:ind w:left="0" w:leftChars="0" w:firstLine="0" w:firstLineChars="0"/>
        <w:rPr>
          <w:rFonts w:hint="default" w:ascii="Times New Roman" w:hAnsi="Times New Roman" w:cs="Times New Roman"/>
          <w:color w:val="auto"/>
          <w:sz w:val="32"/>
          <w:szCs w:val="32"/>
        </w:rPr>
      </w:pPr>
    </w:p>
    <w:p>
      <w:pPr>
        <w:spacing w:line="560" w:lineRule="exact"/>
        <w:ind w:firstLine="640" w:firstLineChars="200"/>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仿宋_GB2312" w:cs="Times New Roman"/>
          <w:color w:val="auto"/>
          <w:sz w:val="32"/>
          <w:szCs w:val="32"/>
        </w:rPr>
        <w:t>附</w:t>
      </w:r>
      <w:r>
        <w:rPr>
          <w:rFonts w:hint="default" w:ascii="Times New Roman" w:hAnsi="Times New Roman" w:cs="Times New Roman"/>
          <w:color w:val="auto"/>
          <w:sz w:val="32"/>
          <w:szCs w:val="32"/>
          <w:lang w:eastAsia="zh-CN"/>
        </w:rPr>
        <w:t>件</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征</w:t>
      </w:r>
      <w:r>
        <w:rPr>
          <w:rFonts w:hint="default" w:ascii="Times New Roman" w:hAnsi="Times New Roman" w:cs="Times New Roman"/>
          <w:color w:val="auto"/>
          <w:sz w:val="32"/>
          <w:szCs w:val="32"/>
          <w:lang w:val="en-US" w:eastAsia="zh-CN"/>
        </w:rPr>
        <w:t>收</w:t>
      </w:r>
      <w:r>
        <w:rPr>
          <w:rFonts w:hint="default" w:ascii="Times New Roman" w:hAnsi="Times New Roman" w:cs="Times New Roman"/>
          <w:color w:val="auto"/>
          <w:sz w:val="32"/>
          <w:szCs w:val="32"/>
        </w:rPr>
        <w:t>土地</w:t>
      </w:r>
      <w:r>
        <w:rPr>
          <w:rFonts w:hint="default" w:ascii="Times New Roman" w:hAnsi="Times New Roman" w:cs="Times New Roman"/>
          <w:bCs w:val="0"/>
          <w:color w:val="auto"/>
          <w:kern w:val="2"/>
          <w:shd w:val="clear" w:color="auto" w:fill="auto"/>
          <w:lang w:val="en-US" w:eastAsia="zh-CN" w:bidi="ar-SA"/>
        </w:rPr>
        <w:t>及</w:t>
      </w:r>
      <w:r>
        <w:rPr>
          <w:rFonts w:hint="default" w:ascii="Times New Roman" w:hAnsi="Times New Roman" w:eastAsia="仿宋_GB2312" w:cs="Times New Roman"/>
          <w:bCs w:val="0"/>
          <w:color w:val="auto"/>
          <w:kern w:val="2"/>
          <w:shd w:val="clear" w:color="auto" w:fill="auto"/>
          <w:lang w:bidi="ar-SA"/>
        </w:rPr>
        <w:t>养老保障情况表</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pPr>
        <w:rPr>
          <w:rFonts w:hint="default" w:ascii="Times New Roman" w:hAnsi="Times New Roman" w:eastAsia="仿宋_GB2312" w:cs="Times New Roman"/>
          <w:color w:val="auto"/>
          <w:sz w:val="32"/>
          <w:szCs w:val="32"/>
          <w:lang w:val="en-US" w:eastAsia="zh-CN"/>
        </w:rPr>
      </w:pPr>
    </w:p>
    <w:p>
      <w:pPr>
        <w:pStyle w:val="2"/>
        <w:rPr>
          <w:rFonts w:hint="default" w:ascii="Times New Roman" w:hAnsi="Times New Roman" w:cs="Times New Roman"/>
          <w:lang w:val="en-US" w:eastAsia="zh-CN"/>
        </w:rPr>
      </w:pPr>
    </w:p>
    <w:p>
      <w:pPr>
        <w:ind w:firstLine="3200" w:firstLineChars="10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广州市</w:t>
      </w:r>
      <w:r>
        <w:rPr>
          <w:rFonts w:hint="default" w:ascii="Times New Roman" w:hAnsi="Times New Roman" w:cs="Times New Roman"/>
          <w:color w:val="auto"/>
          <w:sz w:val="32"/>
          <w:szCs w:val="32"/>
          <w:lang w:val="en-US" w:eastAsia="zh-CN"/>
        </w:rPr>
        <w:t>花都</w:t>
      </w:r>
      <w:r>
        <w:rPr>
          <w:rFonts w:hint="default" w:ascii="Times New Roman" w:hAnsi="Times New Roman" w:eastAsia="仿宋_GB2312" w:cs="Times New Roman"/>
          <w:color w:val="auto"/>
          <w:sz w:val="32"/>
          <w:szCs w:val="32"/>
          <w:lang w:val="en-US" w:eastAsia="zh-CN"/>
        </w:rPr>
        <w:t>区人力资源和社会保障局</w:t>
      </w:r>
    </w:p>
    <w:p>
      <w:pP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2026</w:t>
      </w:r>
      <w:r>
        <w:rPr>
          <w:rFonts w:hint="default" w:ascii="Times New Roman" w:hAnsi="Times New Roman" w:eastAsia="仿宋_GB2312" w:cs="Times New Roman"/>
          <w:color w:val="auto"/>
          <w:sz w:val="32"/>
          <w:szCs w:val="32"/>
          <w:lang w:val="en-US" w:eastAsia="zh-CN"/>
        </w:rPr>
        <w:t>年</w:t>
      </w:r>
      <w:r>
        <w:rPr>
          <w:rFonts w:hint="eastAsia" w:ascii="Times New Roman" w:hAnsi="Times New Roman"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cs="Times New Roman"/>
          <w:i w:val="0"/>
          <w:caps w:val="0"/>
          <w:color w:val="auto"/>
          <w:spacing w:val="0"/>
          <w:kern w:val="0"/>
          <w:sz w:val="32"/>
          <w:szCs w:val="32"/>
          <w:shd w:val="clear" w:color="auto" w:fill="FFFFFF"/>
          <w:lang w:val="en-US" w:eastAsia="zh-CN" w:bidi="ar"/>
        </w:rPr>
        <w:t>17</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pPr>
        <w:pStyle w:val="2"/>
        <w:rPr>
          <w:rFonts w:hint="default" w:ascii="Times New Roman" w:hAnsi="Times New Roman" w:eastAsia="仿宋_GB2312" w:cs="Times New Roman"/>
          <w:i w:val="0"/>
          <w:caps w:val="0"/>
          <w:color w:val="FF0000"/>
          <w:spacing w:val="0"/>
          <w:kern w:val="0"/>
          <w:sz w:val="32"/>
          <w:szCs w:val="32"/>
          <w:shd w:val="clear" w:color="auto" w:fill="FFFFFF"/>
          <w:lang w:val="en-US" w:eastAsia="zh-CN" w:bidi="ar"/>
        </w:rPr>
      </w:pPr>
    </w:p>
    <w:p>
      <w:pPr>
        <w:pStyle w:val="2"/>
        <w:rPr>
          <w:rFonts w:hint="default" w:ascii="Times New Roman" w:hAnsi="Times New Roman" w:eastAsia="仿宋_GB2312" w:cs="Times New Roman"/>
          <w:i w:val="0"/>
          <w:caps w:val="0"/>
          <w:color w:val="FF0000"/>
          <w:spacing w:val="0"/>
          <w:kern w:val="0"/>
          <w:sz w:val="32"/>
          <w:szCs w:val="32"/>
          <w:shd w:val="clear" w:color="auto" w:fill="FFFFFF"/>
          <w:lang w:val="en-US" w:eastAsia="zh-CN" w:bidi="ar"/>
        </w:rPr>
      </w:pPr>
    </w:p>
    <w:p>
      <w:pPr>
        <w:rPr>
          <w:rFonts w:hint="default" w:ascii="Times New Roman" w:hAnsi="Times New Roman" w:cs="Times New Roman"/>
          <w:lang w:val="en-US" w:eastAsia="zh-CN"/>
        </w:rPr>
      </w:pPr>
    </w:p>
    <w:p>
      <w:pPr>
        <w:rPr>
          <w:rFonts w:hint="default" w:ascii="Times New Roman" w:hAnsi="Times New Roman" w:eastAsia="黑体" w:cs="Times New Roman"/>
          <w:lang w:val="en-US" w:eastAsia="zh-CN"/>
        </w:rPr>
      </w:pPr>
      <w:r>
        <w:rPr>
          <w:rFonts w:hint="default" w:ascii="Times New Roman" w:hAnsi="Times New Roman" w:eastAsia="黑体" w:cs="Times New Roman"/>
        </w:rPr>
        <w:t>附</w:t>
      </w:r>
      <w:r>
        <w:rPr>
          <w:rFonts w:hint="default" w:ascii="Times New Roman" w:hAnsi="Times New Roman" w:eastAsia="黑体" w:cs="Times New Roman"/>
          <w:lang w:eastAsia="zh-CN"/>
        </w:rPr>
        <w:t>件</w:t>
      </w: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pPr>
        <w:spacing w:line="600" w:lineRule="exact"/>
        <w:ind w:right="770"/>
        <w:jc w:val="righ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749"/>
        <w:gridCol w:w="2896"/>
        <w:gridCol w:w="1590"/>
        <w:gridCol w:w="2079"/>
        <w:gridCol w:w="1392"/>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645"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被征地单位</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征收土地面积</w:t>
            </w:r>
          </w:p>
        </w:tc>
        <w:tc>
          <w:tcPr>
            <w:tcW w:w="20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其中属于被征地单位留用地面积</w:t>
            </w:r>
          </w:p>
        </w:tc>
        <w:tc>
          <w:tcPr>
            <w:tcW w:w="1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749"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花城街</w:t>
            </w:r>
          </w:p>
        </w:tc>
        <w:tc>
          <w:tcPr>
            <w:tcW w:w="28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i w:val="0"/>
                <w:iCs w:val="0"/>
                <w:color w:val="000000"/>
                <w:kern w:val="0"/>
                <w:sz w:val="24"/>
                <w:szCs w:val="24"/>
                <w:u w:val="none"/>
                <w:lang w:val="en-US" w:eastAsia="zh-CN" w:bidi="ar"/>
              </w:rPr>
              <w:t>石岗村上升三四组集体经济组织</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i w:val="0"/>
                <w:iCs w:val="0"/>
                <w:color w:val="000000"/>
                <w:kern w:val="0"/>
                <w:sz w:val="24"/>
                <w:szCs w:val="24"/>
                <w:u w:val="none"/>
                <w:lang w:val="en-US" w:eastAsia="zh-CN" w:bidi="ar"/>
              </w:rPr>
              <w:t>8.9715</w:t>
            </w:r>
          </w:p>
        </w:tc>
        <w:tc>
          <w:tcPr>
            <w:tcW w:w="20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rPr>
            </w:pPr>
            <w:r>
              <w:rPr>
                <w:rFonts w:hint="default" w:ascii="Times New Roman" w:hAnsi="Times New Roman" w:eastAsia="仿宋" w:cs="Times New Roman"/>
                <w:i w:val="0"/>
                <w:iCs w:val="0"/>
                <w:color w:val="000000"/>
                <w:kern w:val="0"/>
                <w:sz w:val="24"/>
                <w:szCs w:val="24"/>
                <w:u w:val="none"/>
                <w:lang w:val="en-US" w:eastAsia="zh-CN" w:bidi="ar"/>
              </w:rPr>
              <w:t>0</w:t>
            </w:r>
          </w:p>
        </w:tc>
        <w:tc>
          <w:tcPr>
            <w:tcW w:w="1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19.2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749" w:type="dxa"/>
            <w:vMerge w:val="continue"/>
            <w:tcBorders>
              <w:right w:val="single" w:color="auto" w:sz="4" w:space="0"/>
            </w:tcBorders>
            <w:noWrap w:val="0"/>
            <w:vAlign w:val="center"/>
          </w:tcPr>
          <w:p>
            <w:pPr>
              <w:widowControl/>
              <w:spacing w:line="300" w:lineRule="exact"/>
              <w:ind w:left="-38" w:leftChars="-12"/>
              <w:jc w:val="center"/>
              <w:rPr>
                <w:rFonts w:hint="default" w:ascii="Times New Roman" w:hAnsi="Times New Roman" w:eastAsia="仿宋" w:cs="Times New Roman"/>
                <w:kern w:val="0"/>
                <w:sz w:val="24"/>
                <w:szCs w:val="24"/>
              </w:rPr>
            </w:pPr>
          </w:p>
        </w:tc>
        <w:tc>
          <w:tcPr>
            <w:tcW w:w="28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i w:val="0"/>
                <w:iCs w:val="0"/>
                <w:color w:val="000000"/>
                <w:kern w:val="0"/>
                <w:sz w:val="24"/>
                <w:szCs w:val="24"/>
                <w:u w:val="none"/>
                <w:lang w:val="en-US" w:eastAsia="zh-CN" w:bidi="ar"/>
              </w:rPr>
              <w:t>石岗村集体经济组织</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i w:val="0"/>
                <w:iCs w:val="0"/>
                <w:color w:val="000000"/>
                <w:kern w:val="0"/>
                <w:sz w:val="24"/>
                <w:szCs w:val="24"/>
                <w:u w:val="none"/>
                <w:lang w:val="en-US" w:eastAsia="zh-CN" w:bidi="ar"/>
              </w:rPr>
              <w:t>10.5015</w:t>
            </w:r>
          </w:p>
        </w:tc>
        <w:tc>
          <w:tcPr>
            <w:tcW w:w="20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rPr>
            </w:pPr>
            <w:r>
              <w:rPr>
                <w:rFonts w:hint="default" w:ascii="Times New Roman" w:hAnsi="Times New Roman" w:eastAsia="仿宋" w:cs="Times New Roman"/>
                <w:i w:val="0"/>
                <w:iCs w:val="0"/>
                <w:color w:val="000000"/>
                <w:kern w:val="0"/>
                <w:sz w:val="24"/>
                <w:szCs w:val="24"/>
                <w:u w:val="none"/>
                <w:lang w:val="en-US" w:eastAsia="zh-CN" w:bidi="ar"/>
              </w:rPr>
              <w:t>0</w:t>
            </w:r>
          </w:p>
        </w:tc>
        <w:tc>
          <w:tcPr>
            <w:tcW w:w="1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22.48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749" w:type="dxa"/>
            <w:vMerge w:val="continue"/>
            <w:tcBorders>
              <w:right w:val="single" w:color="auto" w:sz="4" w:space="0"/>
            </w:tcBorders>
            <w:noWrap w:val="0"/>
            <w:vAlign w:val="center"/>
          </w:tcPr>
          <w:p>
            <w:pPr>
              <w:widowControl/>
              <w:spacing w:line="300" w:lineRule="exact"/>
              <w:ind w:left="-38" w:leftChars="-12"/>
              <w:jc w:val="center"/>
              <w:rPr>
                <w:rFonts w:hint="default" w:ascii="Times New Roman" w:hAnsi="Times New Roman" w:eastAsia="仿宋" w:cs="Times New Roman"/>
                <w:kern w:val="0"/>
                <w:sz w:val="24"/>
                <w:szCs w:val="24"/>
              </w:rPr>
            </w:pPr>
          </w:p>
        </w:tc>
        <w:tc>
          <w:tcPr>
            <w:tcW w:w="28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i w:val="0"/>
                <w:iCs w:val="0"/>
                <w:color w:val="000000"/>
                <w:kern w:val="0"/>
                <w:sz w:val="24"/>
                <w:szCs w:val="24"/>
                <w:u w:val="none"/>
                <w:lang w:val="en-US" w:eastAsia="zh-CN" w:bidi="ar"/>
              </w:rPr>
              <w:t>石岗村上升</w:t>
            </w:r>
            <w:r>
              <w:rPr>
                <w:rFonts w:hint="eastAsia" w:eastAsia="仿宋" w:cs="Times New Roman"/>
                <w:i w:val="0"/>
                <w:iCs w:val="0"/>
                <w:color w:val="000000"/>
                <w:kern w:val="0"/>
                <w:sz w:val="24"/>
                <w:szCs w:val="24"/>
                <w:u w:val="none"/>
                <w:lang w:val="en-US" w:eastAsia="zh-CN" w:bidi="ar"/>
              </w:rPr>
              <w:t>一</w:t>
            </w:r>
            <w:r>
              <w:rPr>
                <w:rFonts w:hint="eastAsia" w:ascii="Times New Roman" w:hAnsi="Times New Roman" w:eastAsia="仿宋" w:cs="Times New Roman"/>
                <w:i w:val="0"/>
                <w:iCs w:val="0"/>
                <w:color w:val="000000"/>
                <w:kern w:val="0"/>
                <w:sz w:val="24"/>
                <w:szCs w:val="24"/>
                <w:u w:val="none"/>
                <w:lang w:val="en-US" w:eastAsia="zh-CN" w:bidi="ar"/>
              </w:rPr>
              <w:t>组集体经济组织</w:t>
            </w:r>
            <w:r>
              <w:rPr>
                <w:rFonts w:hint="eastAsia" w:eastAsia="仿宋" w:cs="Times New Roman"/>
                <w:i w:val="0"/>
                <w:iCs w:val="0"/>
                <w:color w:val="000000"/>
                <w:kern w:val="0"/>
                <w:sz w:val="24"/>
                <w:szCs w:val="24"/>
                <w:u w:val="none"/>
                <w:lang w:val="en-US" w:eastAsia="zh-CN" w:bidi="ar"/>
              </w:rPr>
              <w:t>、石岗村上升二组集体经济组织（共有）</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i w:val="0"/>
                <w:iCs w:val="0"/>
                <w:color w:val="000000"/>
                <w:kern w:val="0"/>
                <w:sz w:val="24"/>
                <w:szCs w:val="24"/>
                <w:u w:val="none"/>
                <w:lang w:val="en-US" w:eastAsia="zh-CN" w:bidi="ar"/>
              </w:rPr>
              <w:t>22.8570</w:t>
            </w:r>
          </w:p>
        </w:tc>
        <w:tc>
          <w:tcPr>
            <w:tcW w:w="20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rPr>
            </w:pPr>
            <w:r>
              <w:rPr>
                <w:rFonts w:hint="default" w:ascii="Times New Roman" w:hAnsi="Times New Roman" w:eastAsia="仿宋" w:cs="Times New Roman"/>
                <w:i w:val="0"/>
                <w:iCs w:val="0"/>
                <w:color w:val="000000"/>
                <w:kern w:val="0"/>
                <w:sz w:val="24"/>
                <w:szCs w:val="24"/>
                <w:u w:val="none"/>
                <w:lang w:val="en-US" w:eastAsia="zh-CN" w:bidi="ar"/>
              </w:rPr>
              <w:t>0</w:t>
            </w:r>
          </w:p>
        </w:tc>
        <w:tc>
          <w:tcPr>
            <w:tcW w:w="1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48.92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749" w:type="dxa"/>
            <w:vMerge w:val="continue"/>
            <w:tcBorders>
              <w:right w:val="single" w:color="auto" w:sz="4" w:space="0"/>
            </w:tcBorders>
            <w:noWrap w:val="0"/>
            <w:vAlign w:val="center"/>
          </w:tcPr>
          <w:p>
            <w:pPr>
              <w:widowControl/>
              <w:spacing w:line="300" w:lineRule="exact"/>
              <w:ind w:left="-38" w:leftChars="-12"/>
              <w:jc w:val="center"/>
              <w:rPr>
                <w:rFonts w:hint="default" w:ascii="Times New Roman" w:hAnsi="Times New Roman" w:eastAsia="仿宋" w:cs="Times New Roman"/>
                <w:kern w:val="0"/>
                <w:sz w:val="24"/>
                <w:szCs w:val="24"/>
              </w:rPr>
            </w:pPr>
          </w:p>
        </w:tc>
        <w:tc>
          <w:tcPr>
            <w:tcW w:w="28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rPr>
            </w:pPr>
            <w:r>
              <w:rPr>
                <w:rFonts w:hint="eastAsia" w:ascii="Times New Roman" w:hAnsi="Times New Roman" w:eastAsia="仿宋" w:cs="Times New Roman"/>
                <w:i w:val="0"/>
                <w:iCs w:val="0"/>
                <w:color w:val="000000"/>
                <w:kern w:val="0"/>
                <w:sz w:val="24"/>
                <w:szCs w:val="24"/>
                <w:u w:val="none"/>
                <w:lang w:val="en-US" w:eastAsia="zh-CN" w:bidi="ar"/>
              </w:rPr>
              <w:t>石岗村上升</w:t>
            </w:r>
            <w:r>
              <w:rPr>
                <w:rFonts w:hint="eastAsia" w:eastAsia="仿宋" w:cs="Times New Roman"/>
                <w:i w:val="0"/>
                <w:iCs w:val="0"/>
                <w:color w:val="000000"/>
                <w:kern w:val="0"/>
                <w:sz w:val="24"/>
                <w:szCs w:val="24"/>
                <w:u w:val="none"/>
                <w:lang w:val="en-US" w:eastAsia="zh-CN" w:bidi="ar"/>
              </w:rPr>
              <w:t>二</w:t>
            </w:r>
            <w:r>
              <w:rPr>
                <w:rFonts w:hint="eastAsia" w:ascii="Times New Roman" w:hAnsi="Times New Roman" w:eastAsia="仿宋" w:cs="Times New Roman"/>
                <w:i w:val="0"/>
                <w:iCs w:val="0"/>
                <w:color w:val="000000"/>
                <w:kern w:val="0"/>
                <w:sz w:val="24"/>
                <w:szCs w:val="24"/>
                <w:u w:val="none"/>
                <w:lang w:val="en-US" w:eastAsia="zh-CN" w:bidi="ar"/>
              </w:rPr>
              <w:t>组集体经济组织</w:t>
            </w:r>
            <w:r>
              <w:rPr>
                <w:rFonts w:hint="eastAsia" w:eastAsia="仿宋" w:cs="Times New Roman"/>
                <w:i w:val="0"/>
                <w:iCs w:val="0"/>
                <w:color w:val="000000"/>
                <w:kern w:val="0"/>
                <w:sz w:val="24"/>
                <w:szCs w:val="24"/>
                <w:u w:val="none"/>
                <w:lang w:val="en-US" w:eastAsia="zh-CN" w:bidi="ar"/>
              </w:rPr>
              <w:t>、石岗村上升五组集体经济组织、</w:t>
            </w:r>
            <w:r>
              <w:rPr>
                <w:rFonts w:hint="eastAsia" w:ascii="Times New Roman" w:hAnsi="Times New Roman" w:eastAsia="仿宋" w:cs="Times New Roman"/>
                <w:i w:val="0"/>
                <w:iCs w:val="0"/>
                <w:color w:val="000000"/>
                <w:kern w:val="0"/>
                <w:sz w:val="24"/>
                <w:szCs w:val="24"/>
                <w:u w:val="none"/>
                <w:lang w:val="en-US" w:eastAsia="zh-CN" w:bidi="ar"/>
              </w:rPr>
              <w:t>石岗村上升</w:t>
            </w:r>
            <w:r>
              <w:rPr>
                <w:rFonts w:hint="eastAsia" w:eastAsia="仿宋" w:cs="Times New Roman"/>
                <w:i w:val="0"/>
                <w:iCs w:val="0"/>
                <w:color w:val="000000"/>
                <w:kern w:val="0"/>
                <w:sz w:val="24"/>
                <w:szCs w:val="24"/>
                <w:u w:val="none"/>
                <w:lang w:val="en-US" w:eastAsia="zh-CN" w:bidi="ar"/>
              </w:rPr>
              <w:t>一</w:t>
            </w:r>
            <w:r>
              <w:rPr>
                <w:rFonts w:hint="eastAsia" w:ascii="Times New Roman" w:hAnsi="Times New Roman" w:eastAsia="仿宋" w:cs="Times New Roman"/>
                <w:i w:val="0"/>
                <w:iCs w:val="0"/>
                <w:color w:val="000000"/>
                <w:kern w:val="0"/>
                <w:sz w:val="24"/>
                <w:szCs w:val="24"/>
                <w:u w:val="none"/>
                <w:lang w:val="en-US" w:eastAsia="zh-CN" w:bidi="ar"/>
              </w:rPr>
              <w:t>组集体经济组织</w:t>
            </w:r>
            <w:r>
              <w:rPr>
                <w:rFonts w:hint="eastAsia" w:eastAsia="仿宋" w:cs="Times New Roman"/>
                <w:i w:val="0"/>
                <w:iCs w:val="0"/>
                <w:color w:val="000000"/>
                <w:kern w:val="0"/>
                <w:sz w:val="24"/>
                <w:szCs w:val="24"/>
                <w:u w:val="none"/>
                <w:lang w:val="en-US" w:eastAsia="zh-CN" w:bidi="ar"/>
              </w:rPr>
              <w:t>（共有）</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i w:val="0"/>
                <w:iCs w:val="0"/>
                <w:color w:val="000000"/>
                <w:kern w:val="0"/>
                <w:sz w:val="24"/>
                <w:szCs w:val="24"/>
                <w:u w:val="none"/>
                <w:lang w:val="en-US" w:eastAsia="zh-CN" w:bidi="ar"/>
              </w:rPr>
              <w:t>3.8355</w:t>
            </w:r>
          </w:p>
        </w:tc>
        <w:tc>
          <w:tcPr>
            <w:tcW w:w="20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rPr>
            </w:pPr>
            <w:r>
              <w:rPr>
                <w:rFonts w:hint="default" w:ascii="Times New Roman" w:hAnsi="Times New Roman" w:eastAsia="仿宋" w:cs="Times New Roman"/>
                <w:i w:val="0"/>
                <w:iCs w:val="0"/>
                <w:color w:val="000000"/>
                <w:kern w:val="0"/>
                <w:sz w:val="24"/>
                <w:szCs w:val="24"/>
                <w:u w:val="none"/>
                <w:lang w:val="en-US" w:eastAsia="zh-CN" w:bidi="ar"/>
              </w:rPr>
              <w:t>0</w:t>
            </w:r>
          </w:p>
        </w:tc>
        <w:tc>
          <w:tcPr>
            <w:tcW w:w="1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8.21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45"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合计</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rPr>
            </w:pPr>
            <w:r>
              <w:rPr>
                <w:rFonts w:hint="eastAsia" w:ascii="Times New Roman" w:hAnsi="Times New Roman" w:eastAsia="仿宋" w:cs="Times New Roman"/>
                <w:i w:val="0"/>
                <w:iCs w:val="0"/>
                <w:color w:val="000000"/>
                <w:kern w:val="0"/>
                <w:sz w:val="24"/>
                <w:szCs w:val="24"/>
                <w:u w:val="none"/>
                <w:lang w:val="en-US" w:eastAsia="zh-CN" w:bidi="ar"/>
              </w:rPr>
              <w:t>46.1655</w:t>
            </w:r>
          </w:p>
        </w:tc>
        <w:tc>
          <w:tcPr>
            <w:tcW w:w="20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rPr>
            </w:pPr>
            <w:r>
              <w:rPr>
                <w:rFonts w:hint="default" w:ascii="Times New Roman" w:hAnsi="Times New Roman" w:eastAsia="仿宋" w:cs="Times New Roman"/>
                <w:i w:val="0"/>
                <w:iCs w:val="0"/>
                <w:color w:val="000000"/>
                <w:kern w:val="0"/>
                <w:sz w:val="24"/>
                <w:szCs w:val="24"/>
                <w:u w:val="none"/>
                <w:lang w:val="en-US" w:eastAsia="zh-CN" w:bidi="ar"/>
              </w:rPr>
              <w:t>0</w:t>
            </w:r>
          </w:p>
        </w:tc>
        <w:tc>
          <w:tcPr>
            <w:tcW w:w="13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98.81</w:t>
            </w:r>
            <w:bookmarkStart w:id="0" w:name="_GoBack"/>
            <w:bookmarkEnd w:id="0"/>
          </w:p>
        </w:tc>
      </w:tr>
    </w:tbl>
    <w:p>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lang w:eastAsia="zh-CN"/>
        </w:rPr>
        <w:t>备注：</w:t>
      </w:r>
      <w:r>
        <w:rPr>
          <w:rFonts w:hint="default" w:ascii="Times New Roman" w:hAnsi="Times New Roman" w:cs="Times New Roman"/>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Pr>
        <w:rPr>
          <w:rFonts w:hint="default" w:ascii="Times New Roman" w:hAnsi="Times New Roman" w:cs="Times New Roman"/>
        </w:rPr>
      </w:pPr>
    </w:p>
    <w:p>
      <w:pPr>
        <w:pStyle w:val="2"/>
        <w:rPr>
          <w:rFonts w:hint="default" w:ascii="Times New Roman" w:hAnsi="Times New Roman" w:cs="Times New Roman"/>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C665862"/>
    <w:rsid w:val="2DAF2E8F"/>
    <w:rsid w:val="35F746F3"/>
    <w:rsid w:val="36EF346B"/>
    <w:rsid w:val="383071EA"/>
    <w:rsid w:val="38813E6C"/>
    <w:rsid w:val="39751ECE"/>
    <w:rsid w:val="39831A8C"/>
    <w:rsid w:val="39AA1502"/>
    <w:rsid w:val="3A09021C"/>
    <w:rsid w:val="3A9535F9"/>
    <w:rsid w:val="3CFF5EF7"/>
    <w:rsid w:val="3DAA0446"/>
    <w:rsid w:val="3E3629B5"/>
    <w:rsid w:val="3EA022D5"/>
    <w:rsid w:val="3EEA6AA4"/>
    <w:rsid w:val="3F6655A0"/>
    <w:rsid w:val="3FE2260B"/>
    <w:rsid w:val="40075A22"/>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Administered</cp:lastModifiedBy>
  <cp:lastPrinted>2022-01-04T07:55:00Z</cp:lastPrinted>
  <dcterms:modified xsi:type="dcterms:W3CDTF">2026-08-25T02:09:26Z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04DE3BC76FEF4469A02E49DE7CA604E3_13</vt:lpwstr>
  </property>
</Properties>
</file>