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spacing w:line="720" w:lineRule="auto"/>
        <w:jc w:val="center"/>
        <w:rPr>
          <w:rFonts w:hint="eastAsia" w:eastAsia="黑体"/>
          <w:color w:val="000000"/>
          <w:sz w:val="44"/>
          <w:szCs w:val="44"/>
          <w:lang w:eastAsia="zh-CN"/>
        </w:rPr>
      </w:pPr>
      <w:r>
        <w:rPr>
          <w:rFonts w:hint="eastAsia" w:eastAsia="黑体"/>
          <w:color w:val="000000"/>
          <w:sz w:val="44"/>
          <w:szCs w:val="44"/>
          <w:lang w:eastAsia="zh-CN"/>
        </w:rPr>
        <w:t>飞鹅岭康体公园地块“三通一平”工程水土保持方案编制及水土保持监测工作</w:t>
      </w:r>
    </w:p>
    <w:p>
      <w:pPr>
        <w:spacing w:line="720" w:lineRule="auto"/>
        <w:jc w:val="center"/>
        <w:rPr>
          <w:rFonts w:hint="eastAsia" w:eastAsia="黑体"/>
          <w:color w:val="000000"/>
          <w:sz w:val="44"/>
          <w:szCs w:val="44"/>
          <w:lang w:eastAsia="zh-CN"/>
        </w:rPr>
      </w:pPr>
      <w:r>
        <w:rPr>
          <w:rFonts w:hint="eastAsia" w:eastAsia="黑体"/>
          <w:color w:val="000000"/>
          <w:sz w:val="44"/>
          <w:szCs w:val="44"/>
          <w:lang w:eastAsia="zh-CN"/>
        </w:rPr>
        <w:t>任务书</w:t>
      </w:r>
    </w:p>
    <w:p>
      <w:pPr>
        <w:spacing w:line="720" w:lineRule="auto"/>
        <w:jc w:val="center"/>
        <w:rPr>
          <w:rFonts w:hint="eastAsia" w:eastAsia="黑体"/>
          <w:color w:val="000000"/>
          <w:sz w:val="44"/>
          <w:szCs w:val="44"/>
          <w:lang w:eastAsia="zh-CN"/>
        </w:rPr>
      </w:pPr>
    </w:p>
    <w:p>
      <w:pPr>
        <w:spacing w:line="760" w:lineRule="exact"/>
        <w:ind w:firstLine="560" w:firstLineChars="200"/>
        <w:rPr>
          <w:sz w:val="28"/>
        </w:rPr>
      </w:pPr>
    </w:p>
    <w:p>
      <w:pPr>
        <w:spacing w:line="760" w:lineRule="exact"/>
        <w:ind w:firstLine="560" w:firstLineChars="200"/>
        <w:rPr>
          <w:sz w:val="28"/>
        </w:rPr>
      </w:pPr>
    </w:p>
    <w:p>
      <w:pPr>
        <w:spacing w:line="760" w:lineRule="exact"/>
        <w:ind w:firstLine="560" w:firstLineChars="200"/>
        <w:rPr>
          <w:sz w:val="28"/>
        </w:rPr>
      </w:pPr>
    </w:p>
    <w:p>
      <w:pPr>
        <w:spacing w:line="760" w:lineRule="exact"/>
        <w:ind w:firstLine="560" w:firstLineChars="200"/>
        <w:rPr>
          <w:sz w:val="28"/>
        </w:rPr>
      </w:pPr>
    </w:p>
    <w:p>
      <w:pPr>
        <w:spacing w:line="760" w:lineRule="exact"/>
        <w:ind w:firstLine="560" w:firstLineChars="200"/>
        <w:rPr>
          <w:sz w:val="28"/>
        </w:rPr>
      </w:pPr>
    </w:p>
    <w:p>
      <w:pPr>
        <w:spacing w:line="760" w:lineRule="exact"/>
        <w:ind w:firstLine="560" w:firstLineChars="200"/>
        <w:rPr>
          <w:sz w:val="28"/>
        </w:rPr>
      </w:pPr>
    </w:p>
    <w:p>
      <w:pPr>
        <w:spacing w:line="760" w:lineRule="exact"/>
        <w:ind w:firstLine="560" w:firstLineChars="200"/>
        <w:rPr>
          <w:sz w:val="28"/>
        </w:rPr>
      </w:pPr>
    </w:p>
    <w:p>
      <w:pPr>
        <w:spacing w:line="760" w:lineRule="exact"/>
        <w:ind w:firstLine="560" w:firstLineChars="200"/>
        <w:rPr>
          <w:sz w:val="28"/>
        </w:rPr>
      </w:pPr>
    </w:p>
    <w:p>
      <w:pPr>
        <w:spacing w:line="760" w:lineRule="exact"/>
        <w:rPr>
          <w:sz w:val="28"/>
        </w:rPr>
      </w:pPr>
    </w:p>
    <w:p>
      <w:pPr>
        <w:spacing w:line="760" w:lineRule="exact"/>
        <w:ind w:firstLine="560" w:firstLineChars="200"/>
        <w:rPr>
          <w:sz w:val="28"/>
        </w:rPr>
      </w:pPr>
    </w:p>
    <w:p>
      <w:pPr>
        <w:ind w:firstLine="3060" w:firstLineChars="850"/>
        <w:rPr>
          <w:sz w:val="36"/>
          <w:szCs w:val="36"/>
        </w:rPr>
      </w:pPr>
      <w:r>
        <w:rPr>
          <w:sz w:val="36"/>
          <w:szCs w:val="36"/>
        </w:rPr>
        <w:t>20</w:t>
      </w:r>
      <w:r>
        <w:rPr>
          <w:rFonts w:hint="eastAsia"/>
          <w:sz w:val="36"/>
          <w:szCs w:val="36"/>
          <w:lang w:val="en-US" w:eastAsia="zh-CN"/>
        </w:rPr>
        <w:t>26</w:t>
      </w:r>
      <w:r>
        <w:rPr>
          <w:sz w:val="36"/>
          <w:szCs w:val="36"/>
        </w:rPr>
        <w:t>年</w:t>
      </w:r>
      <w:r>
        <w:rPr>
          <w:rFonts w:hint="eastAsia"/>
          <w:sz w:val="36"/>
          <w:szCs w:val="36"/>
          <w:lang w:val="en-US" w:eastAsia="zh-CN"/>
        </w:rPr>
        <w:t>8</w:t>
      </w:r>
      <w:r>
        <w:rPr>
          <w:sz w:val="36"/>
          <w:szCs w:val="36"/>
        </w:rPr>
        <w:t>月</w:t>
      </w:r>
    </w:p>
    <w:p>
      <w:pPr>
        <w:widowControl/>
        <w:jc w:val="left"/>
        <w:rPr>
          <w:rFonts w:hint="eastAsia"/>
          <w:sz w:val="36"/>
          <w:szCs w:val="36"/>
        </w:rPr>
      </w:pPr>
    </w:p>
    <w:p>
      <w:pPr>
        <w:ind w:firstLine="3740" w:firstLineChars="850"/>
        <w:rPr>
          <w:rFonts w:eastAsia="黑体"/>
          <w:sz w:val="44"/>
          <w:szCs w:val="21"/>
        </w:rPr>
      </w:pPr>
      <w:r>
        <w:rPr>
          <w:rFonts w:eastAsia="黑体"/>
          <w:sz w:val="44"/>
          <w:szCs w:val="21"/>
        </w:rPr>
        <w:br w:type="page"/>
      </w:r>
    </w:p>
    <w:p>
      <w:pPr>
        <w:jc w:val="center"/>
        <w:rPr>
          <w:rFonts w:eastAsia="黑体"/>
          <w:sz w:val="44"/>
          <w:szCs w:val="21"/>
        </w:rPr>
      </w:pPr>
      <w:r>
        <w:rPr>
          <w:rFonts w:eastAsia="黑体"/>
          <w:sz w:val="44"/>
          <w:szCs w:val="21"/>
        </w:rPr>
        <w:t>目  录</w:t>
      </w:r>
    </w:p>
    <w:p>
      <w:pPr>
        <w:spacing w:line="360" w:lineRule="auto"/>
        <w:jc w:val="center"/>
        <w:rPr>
          <w:sz w:val="44"/>
          <w:szCs w:val="44"/>
        </w:rPr>
      </w:pPr>
    </w:p>
    <w:p>
      <w:pPr>
        <w:pStyle w:val="6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TOC \o "1-3" \h \z \u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bookmarkStart w:id="40" w:name="_GoBack"/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_Toc1284030568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1、工程概况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_Toc1284030568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6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_Toc878543962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水土保持</w:t>
      </w:r>
      <w:r>
        <w:rPr>
          <w:rFonts w:hint="eastAsia" w:ascii="宋体" w:hAnsi="宋体" w:eastAsia="宋体" w:cs="宋体"/>
          <w:sz w:val="28"/>
          <w:szCs w:val="28"/>
        </w:rPr>
        <w:t>目的和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任务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_Toc878543962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7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_Toc1021583484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2.1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水土保持</w:t>
      </w:r>
      <w:r>
        <w:rPr>
          <w:rFonts w:hint="eastAsia" w:ascii="宋体" w:hAnsi="宋体" w:eastAsia="宋体" w:cs="宋体"/>
          <w:sz w:val="28"/>
          <w:szCs w:val="28"/>
        </w:rPr>
        <w:t>目的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_Toc1021583484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7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_Toc355555370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2.2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水土保持任务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_Toc355555370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6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_Toc1927194818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3、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水土保持</w:t>
      </w:r>
      <w:r>
        <w:rPr>
          <w:rFonts w:hint="eastAsia" w:ascii="宋体" w:hAnsi="宋体" w:eastAsia="宋体" w:cs="宋体"/>
          <w:sz w:val="28"/>
          <w:szCs w:val="28"/>
        </w:rPr>
        <w:t>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主要</w:t>
      </w:r>
      <w:r>
        <w:rPr>
          <w:rFonts w:hint="eastAsia" w:ascii="宋体" w:hAnsi="宋体" w:eastAsia="宋体" w:cs="宋体"/>
          <w:sz w:val="28"/>
          <w:szCs w:val="28"/>
        </w:rPr>
        <w:t>依据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_Toc1927194818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6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_Toc1967075561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4、提交成果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_Toc1967075561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7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_Toc1831558491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.1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水土流失分析</w:t>
      </w:r>
      <w:r>
        <w:rPr>
          <w:rFonts w:hint="eastAsia" w:ascii="宋体" w:hAnsi="宋体" w:eastAsia="宋体" w:cs="宋体"/>
          <w:sz w:val="28"/>
          <w:szCs w:val="28"/>
        </w:rPr>
        <w:t>报告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_Toc1831558491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7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_Toc734906270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 水土保持方案报告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_Toc734906270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7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_Toc665615199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3 </w:t>
      </w:r>
      <w:r>
        <w:rPr>
          <w:rFonts w:hint="eastAsia" w:ascii="宋体" w:hAnsi="宋体" w:eastAsia="宋体" w:cs="宋体"/>
          <w:sz w:val="28"/>
          <w:szCs w:val="28"/>
        </w:rPr>
        <w:t>电子文件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_Toc665615199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6"/>
        <w:tabs>
          <w:tab w:val="right" w:leader="dot" w:pos="8306"/>
        </w:tabs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\l _Toc551493818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、其它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PAGEREF _Toc551493818 \h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bookmarkEnd w:id="40"/>
    <w:p>
      <w:pPr>
        <w:adjustRightInd w:val="0"/>
        <w:spacing w:line="360" w:lineRule="auto"/>
        <w:jc w:val="lef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  <w:sectPr>
          <w:footerReference r:id="rId3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titlePg/>
          <w:docGrid w:type="lines" w:linePitch="312" w:charSpace="0"/>
        </w:sectPr>
      </w:pP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sz w:val="30"/>
          <w:szCs w:val="30"/>
        </w:rPr>
      </w:pPr>
      <w:bookmarkStart w:id="0" w:name="_Toc17989"/>
      <w:bookmarkStart w:id="1" w:name="_Toc69454971"/>
      <w:bookmarkStart w:id="2" w:name="_Toc1212715372"/>
      <w:bookmarkStart w:id="3" w:name="_Toc1284030568"/>
      <w:r>
        <w:rPr>
          <w:sz w:val="30"/>
          <w:szCs w:val="30"/>
        </w:rPr>
        <w:t>1、工程概况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本项目位于广州市</w:t>
      </w:r>
      <w:r>
        <w:rPr>
          <w:rFonts w:hint="default" w:ascii="Times New Roman" w:hAnsi="Times New Roman" w:cs="Times New Roman"/>
          <w:sz w:val="28"/>
          <w:szCs w:val="28"/>
        </w:rPr>
        <w:t>花都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区秀全街道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岭西路以东、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车城大道以北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；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现状为丘陵地貌，地形起伏较大，植被发育；本项目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总用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地面积为153348</w:t>
      </w:r>
      <w:r>
        <w:rPr>
          <w:rFonts w:hint="eastAsia" w:ascii="宋体"/>
          <w:sz w:val="28"/>
          <w:szCs w:val="28"/>
          <w:lang w:val="en-US" w:eastAsia="zh-CN"/>
        </w:rPr>
        <w:t>m</w:t>
      </w:r>
      <w:r>
        <w:rPr>
          <w:rFonts w:hint="eastAsia" w:ascii="宋体"/>
          <w:sz w:val="28"/>
          <w:szCs w:val="28"/>
          <w:vertAlign w:val="superscript"/>
          <w:lang w:val="en-US" w:eastAsia="zh-CN"/>
        </w:rPr>
        <w:t>2</w:t>
      </w:r>
      <w:r>
        <w:rPr>
          <w:rFonts w:hint="eastAsia" w:ascii="宋体"/>
          <w:sz w:val="28"/>
          <w:szCs w:val="28"/>
          <w:lang w:val="en-US" w:eastAsia="zh-CN"/>
        </w:rPr>
        <w:t>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划分南北两个地块，北侧地块规划设计开挖标高为+12.00m；南侧地块规划呈阶梯型布置，设计开挖标高为15.60～28.80m。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由于本项目场地平整需要确定挖土（石）方量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，因此，需要对场地进行水土流失分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析，为场地平整施工提供</w:t>
      </w:r>
      <w:r>
        <w:rPr>
          <w:rFonts w:hint="eastAsia" w:cs="Times New Roman"/>
          <w:color w:val="auto"/>
          <w:sz w:val="28"/>
          <w:szCs w:val="28"/>
          <w:lang w:val="en-US" w:eastAsia="zh-CN"/>
        </w:rPr>
        <w:t>水土保持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数据。本次</w:t>
      </w:r>
      <w:r>
        <w:rPr>
          <w:rFonts w:hint="eastAsia" w:cs="Times New Roman"/>
          <w:color w:val="auto"/>
          <w:sz w:val="28"/>
          <w:szCs w:val="28"/>
          <w:lang w:eastAsia="zh-CN"/>
        </w:rPr>
        <w:t>水土保持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任务主要是对场地进行</w:t>
      </w:r>
      <w:r>
        <w:rPr>
          <w:rFonts w:hint="eastAsia" w:cs="Times New Roman"/>
          <w:color w:val="auto"/>
          <w:sz w:val="28"/>
          <w:szCs w:val="28"/>
          <w:lang w:eastAsia="zh-CN"/>
        </w:rPr>
        <w:t>调查分析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和</w:t>
      </w:r>
      <w:r>
        <w:rPr>
          <w:rFonts w:hint="eastAsia" w:cs="Times New Roman"/>
          <w:color w:val="auto"/>
          <w:sz w:val="28"/>
          <w:szCs w:val="28"/>
          <w:lang w:eastAsia="zh-CN"/>
        </w:rPr>
        <w:t>水保监测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针对</w:t>
      </w:r>
      <w:r>
        <w:rPr>
          <w:rFonts w:hint="eastAsia" w:cs="Times New Roman"/>
          <w:color w:val="auto"/>
          <w:sz w:val="28"/>
          <w:szCs w:val="28"/>
          <w:lang w:val="en-US" w:eastAsia="zh-CN"/>
        </w:rPr>
        <w:t>有水土流失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问题</w:t>
      </w:r>
      <w:r>
        <w:rPr>
          <w:rFonts w:hint="eastAsia" w:cs="Times New Roman"/>
          <w:color w:val="auto"/>
          <w:sz w:val="28"/>
          <w:szCs w:val="28"/>
          <w:lang w:val="en-US" w:eastAsia="zh-CN"/>
        </w:rPr>
        <w:t>的范围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提出建议</w:t>
      </w:r>
      <w:r>
        <w:rPr>
          <w:rFonts w:hint="eastAsia" w:cs="Times New Roman"/>
          <w:color w:val="auto"/>
          <w:sz w:val="28"/>
          <w:szCs w:val="28"/>
          <w:lang w:val="en-US" w:eastAsia="zh-CN"/>
        </w:rPr>
        <w:t>及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整改措施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eastAsia="宋体"/>
          <w:sz w:val="30"/>
          <w:szCs w:val="30"/>
          <w:lang w:eastAsia="zh-CN"/>
        </w:rPr>
      </w:pPr>
      <w:bookmarkStart w:id="4" w:name="_Toc2097536921"/>
      <w:bookmarkStart w:id="5" w:name="_Toc11425"/>
      <w:bookmarkStart w:id="6" w:name="_Toc332979033"/>
      <w:bookmarkStart w:id="7" w:name="_Toc878543962"/>
      <w:r>
        <w:rPr>
          <w:sz w:val="30"/>
          <w:szCs w:val="30"/>
        </w:rPr>
        <w:t>2、</w:t>
      </w:r>
      <w:r>
        <w:rPr>
          <w:rFonts w:hint="eastAsia"/>
          <w:sz w:val="30"/>
          <w:szCs w:val="30"/>
          <w:lang w:eastAsia="zh-CN"/>
        </w:rPr>
        <w:t>水土保持</w:t>
      </w:r>
      <w:r>
        <w:rPr>
          <w:sz w:val="30"/>
          <w:szCs w:val="30"/>
        </w:rPr>
        <w:t>目的和</w:t>
      </w:r>
      <w:r>
        <w:rPr>
          <w:rFonts w:hint="eastAsia"/>
          <w:sz w:val="30"/>
          <w:szCs w:val="30"/>
          <w:lang w:eastAsia="zh-CN"/>
        </w:rPr>
        <w:t>任务</w:t>
      </w:r>
      <w:bookmarkEnd w:id="4"/>
      <w:bookmarkEnd w:id="5"/>
      <w:bookmarkEnd w:id="6"/>
      <w:bookmarkEnd w:id="7"/>
    </w:p>
    <w:p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rFonts w:ascii="Times New Roman" w:hAnsi="Times New Roman"/>
          <w:sz w:val="28"/>
          <w:szCs w:val="28"/>
        </w:rPr>
      </w:pPr>
      <w:bookmarkStart w:id="8" w:name="_Toc27157"/>
      <w:bookmarkStart w:id="9" w:name="_Toc348441809"/>
      <w:bookmarkStart w:id="10" w:name="_Toc371366578"/>
      <w:bookmarkStart w:id="11" w:name="_Toc1021583484"/>
      <w:r>
        <w:rPr>
          <w:rFonts w:ascii="Times New Roman" w:hAnsi="Times New Roman"/>
          <w:sz w:val="28"/>
          <w:szCs w:val="28"/>
        </w:rPr>
        <w:t>2.1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30"/>
          <w:szCs w:val="30"/>
          <w:lang w:eastAsia="zh-CN"/>
        </w:rPr>
        <w:t>水土保持</w:t>
      </w:r>
      <w:r>
        <w:rPr>
          <w:rFonts w:ascii="Times New Roman" w:hAnsi="Times New Roman"/>
          <w:sz w:val="28"/>
          <w:szCs w:val="28"/>
        </w:rPr>
        <w:t>目的</w:t>
      </w:r>
      <w:bookmarkEnd w:id="8"/>
      <w:bookmarkEnd w:id="9"/>
      <w:bookmarkEnd w:id="10"/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/>
          <w:color w:val="auto"/>
          <w:sz w:val="28"/>
          <w:szCs w:val="28"/>
          <w:lang w:eastAsia="zh-CN"/>
        </w:rPr>
      </w:pPr>
      <w:r>
        <w:rPr>
          <w:rFonts w:ascii="宋体"/>
          <w:color w:val="auto"/>
          <w:sz w:val="28"/>
          <w:szCs w:val="28"/>
        </w:rPr>
        <w:t>根据</w:t>
      </w:r>
      <w:r>
        <w:rPr>
          <w:rFonts w:hint="eastAsia" w:ascii="宋体"/>
          <w:color w:val="auto"/>
          <w:sz w:val="28"/>
          <w:szCs w:val="28"/>
          <w:lang w:eastAsia="zh-CN"/>
        </w:rPr>
        <w:t>现场情况</w:t>
      </w:r>
      <w:r>
        <w:rPr>
          <w:rFonts w:hint="eastAsia" w:ascii="宋体"/>
          <w:color w:val="auto"/>
          <w:sz w:val="28"/>
          <w:szCs w:val="28"/>
        </w:rPr>
        <w:t>和</w:t>
      </w:r>
      <w:r>
        <w:rPr>
          <w:rFonts w:ascii="宋体"/>
          <w:color w:val="auto"/>
          <w:sz w:val="28"/>
          <w:szCs w:val="28"/>
        </w:rPr>
        <w:t>现行有关规范规定，本次</w:t>
      </w:r>
      <w:r>
        <w:rPr>
          <w:rFonts w:hint="eastAsia" w:ascii="宋体"/>
          <w:color w:val="auto"/>
          <w:sz w:val="28"/>
          <w:szCs w:val="28"/>
          <w:lang w:eastAsia="zh-CN"/>
        </w:rPr>
        <w:t>水土保持</w:t>
      </w:r>
      <w:r>
        <w:rPr>
          <w:rFonts w:ascii="宋体"/>
          <w:color w:val="auto"/>
          <w:sz w:val="28"/>
          <w:szCs w:val="28"/>
        </w:rPr>
        <w:t>的主要</w:t>
      </w:r>
      <w:r>
        <w:rPr>
          <w:rFonts w:hint="eastAsia" w:ascii="宋体"/>
          <w:color w:val="auto"/>
          <w:sz w:val="28"/>
          <w:szCs w:val="28"/>
        </w:rPr>
        <w:t>目的是初步</w:t>
      </w:r>
      <w:r>
        <w:rPr>
          <w:rFonts w:hint="eastAsia" w:ascii="宋体"/>
          <w:color w:val="auto"/>
          <w:sz w:val="28"/>
          <w:szCs w:val="28"/>
          <w:lang w:eastAsia="zh-CN"/>
        </w:rPr>
        <w:t>查</w:t>
      </w:r>
      <w:r>
        <w:rPr>
          <w:rFonts w:hint="eastAsia" w:ascii="宋体"/>
          <w:color w:val="auto"/>
          <w:sz w:val="28"/>
          <w:szCs w:val="28"/>
        </w:rPr>
        <w:t>明</w:t>
      </w:r>
      <w:r>
        <w:rPr>
          <w:rFonts w:ascii="宋体"/>
          <w:color w:val="auto"/>
          <w:sz w:val="28"/>
          <w:szCs w:val="28"/>
        </w:rPr>
        <w:t>挖方</w:t>
      </w:r>
      <w:r>
        <w:rPr>
          <w:rFonts w:hint="eastAsia" w:ascii="宋体"/>
          <w:color w:val="auto"/>
          <w:sz w:val="28"/>
          <w:szCs w:val="28"/>
        </w:rPr>
        <w:t>范围</w:t>
      </w:r>
      <w:r>
        <w:rPr>
          <w:rFonts w:hint="eastAsia" w:ascii="宋体"/>
          <w:color w:val="auto"/>
          <w:sz w:val="28"/>
          <w:szCs w:val="28"/>
          <w:lang w:eastAsia="zh-CN"/>
        </w:rPr>
        <w:t>（含边坡）</w:t>
      </w:r>
      <w:r>
        <w:rPr>
          <w:rFonts w:ascii="宋体"/>
          <w:color w:val="auto"/>
          <w:sz w:val="28"/>
          <w:szCs w:val="28"/>
        </w:rPr>
        <w:t>内</w:t>
      </w:r>
      <w:r>
        <w:rPr>
          <w:rFonts w:hint="eastAsia" w:ascii="宋体"/>
          <w:color w:val="auto"/>
          <w:sz w:val="28"/>
          <w:szCs w:val="28"/>
        </w:rPr>
        <w:t>工程</w:t>
      </w:r>
      <w:r>
        <w:rPr>
          <w:rFonts w:hint="eastAsia" w:ascii="宋体"/>
          <w:color w:val="auto"/>
          <w:sz w:val="28"/>
          <w:szCs w:val="28"/>
          <w:lang w:eastAsia="zh-CN"/>
        </w:rPr>
        <w:t>的水土保持</w:t>
      </w:r>
      <w:r>
        <w:rPr>
          <w:rFonts w:hint="eastAsia" w:ascii="宋体"/>
          <w:color w:val="auto"/>
          <w:sz w:val="28"/>
          <w:szCs w:val="28"/>
        </w:rPr>
        <w:t>，并对</w:t>
      </w:r>
      <w:r>
        <w:rPr>
          <w:rFonts w:ascii="宋体"/>
          <w:color w:val="auto"/>
          <w:sz w:val="28"/>
          <w:szCs w:val="28"/>
        </w:rPr>
        <w:t>挖方</w:t>
      </w:r>
      <w:r>
        <w:rPr>
          <w:rFonts w:hint="eastAsia" w:ascii="宋体"/>
          <w:color w:val="auto"/>
          <w:sz w:val="28"/>
          <w:szCs w:val="28"/>
        </w:rPr>
        <w:t>范围</w:t>
      </w:r>
      <w:r>
        <w:rPr>
          <w:rFonts w:ascii="宋体"/>
          <w:color w:val="auto"/>
          <w:sz w:val="28"/>
          <w:szCs w:val="28"/>
        </w:rPr>
        <w:t>内土体进行岩土分类和土石比</w:t>
      </w:r>
      <w:r>
        <w:rPr>
          <w:rFonts w:hint="eastAsia" w:ascii="宋体"/>
          <w:color w:val="auto"/>
          <w:sz w:val="28"/>
          <w:szCs w:val="28"/>
        </w:rPr>
        <w:t>初步</w:t>
      </w:r>
      <w:r>
        <w:rPr>
          <w:rFonts w:ascii="宋体"/>
          <w:color w:val="auto"/>
          <w:sz w:val="28"/>
          <w:szCs w:val="28"/>
        </w:rPr>
        <w:t>估算，</w:t>
      </w:r>
      <w:r>
        <w:rPr>
          <w:rFonts w:hint="eastAsia" w:ascii="宋体"/>
          <w:color w:val="auto"/>
          <w:sz w:val="28"/>
          <w:szCs w:val="28"/>
        </w:rPr>
        <w:t>为拟建工程的</w:t>
      </w:r>
      <w:r>
        <w:rPr>
          <w:rFonts w:hint="eastAsia" w:ascii="宋体"/>
          <w:color w:val="auto"/>
          <w:sz w:val="28"/>
          <w:szCs w:val="28"/>
          <w:lang w:eastAsia="zh-CN"/>
        </w:rPr>
        <w:t>场地平整以及初步设计提供</w:t>
      </w:r>
      <w:r>
        <w:rPr>
          <w:rFonts w:hint="eastAsia" w:ascii="宋体"/>
          <w:color w:val="auto"/>
          <w:sz w:val="28"/>
          <w:szCs w:val="28"/>
        </w:rPr>
        <w:t>所需的工程地质</w:t>
      </w:r>
      <w:r>
        <w:rPr>
          <w:rFonts w:hint="eastAsia" w:ascii="宋体"/>
          <w:color w:val="auto"/>
          <w:sz w:val="28"/>
          <w:szCs w:val="28"/>
          <w:lang w:eastAsia="zh-CN"/>
        </w:rPr>
        <w:t>依据。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ascii="Times New Roman" w:hAnsi="Times New Roman" w:eastAsia="黑体"/>
          <w:color w:val="auto"/>
          <w:sz w:val="28"/>
          <w:szCs w:val="28"/>
          <w:lang w:eastAsia="zh-CN"/>
        </w:rPr>
      </w:pPr>
      <w:bookmarkStart w:id="12" w:name="_Toc3405"/>
      <w:bookmarkStart w:id="13" w:name="_Toc467781672"/>
      <w:bookmarkStart w:id="14" w:name="_Toc625799215"/>
      <w:bookmarkStart w:id="15" w:name="_Toc355555370"/>
      <w:r>
        <w:rPr>
          <w:rFonts w:ascii="Times New Roman" w:hAnsi="Times New Roman"/>
          <w:color w:val="auto"/>
          <w:sz w:val="28"/>
          <w:szCs w:val="28"/>
        </w:rPr>
        <w:t>2.2</w:t>
      </w:r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30"/>
          <w:szCs w:val="30"/>
          <w:lang w:eastAsia="zh-CN"/>
        </w:rPr>
        <w:t>水土保持</w:t>
      </w:r>
      <w:r>
        <w:rPr>
          <w:rFonts w:hint="eastAsia" w:ascii="Times New Roman" w:hAnsi="Times New Roman"/>
          <w:color w:val="auto"/>
          <w:sz w:val="28"/>
          <w:szCs w:val="28"/>
          <w:lang w:eastAsia="zh-CN"/>
        </w:rPr>
        <w:t>任务</w:t>
      </w:r>
      <w:bookmarkEnd w:id="12"/>
      <w:bookmarkEnd w:id="13"/>
      <w:bookmarkEnd w:id="14"/>
      <w:bookmarkEnd w:id="1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rPr>
          <w:rFonts w:hint="default" w:ascii="宋体" w:hAnsi="Times New Roman" w:eastAsia="宋体" w:cs="Times New Roman"/>
          <w:color w:val="auto"/>
          <w:kern w:val="2"/>
          <w:sz w:val="28"/>
          <w:szCs w:val="28"/>
          <w:lang w:val="en-US" w:eastAsia="zh-CN" w:bidi="en-US"/>
        </w:rPr>
      </w:pPr>
      <w:r>
        <w:rPr>
          <w:rFonts w:hint="default" w:ascii="宋体" w:hAnsi="Times New Roman" w:eastAsia="宋体" w:cs="Times New Roman"/>
          <w:color w:val="auto"/>
          <w:kern w:val="2"/>
          <w:sz w:val="28"/>
          <w:szCs w:val="28"/>
          <w:lang w:val="en-US" w:eastAsia="zh-CN" w:bidi="en-US"/>
        </w:rPr>
        <w:t>1、在项目设计过程中，向建设单位提供项目建设水土保持工作提供技术咨询服务，出具水土流失分析报告及水土保持方案，并配合完成水土保持方案审批工作。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rPr>
          <w:rFonts w:hint="default" w:ascii="宋体" w:hAnsi="Times New Roman" w:eastAsia="宋体" w:cs="Times New Roman"/>
          <w:color w:val="auto"/>
          <w:kern w:val="2"/>
          <w:sz w:val="28"/>
          <w:szCs w:val="28"/>
          <w:lang w:val="en-US" w:eastAsia="zh-CN" w:bidi="en-US"/>
        </w:rPr>
      </w:pPr>
      <w:r>
        <w:rPr>
          <w:rFonts w:hint="default" w:ascii="宋体" w:hAnsi="Times New Roman" w:eastAsia="宋体" w:cs="Times New Roman"/>
          <w:color w:val="auto"/>
          <w:kern w:val="2"/>
          <w:sz w:val="28"/>
          <w:szCs w:val="28"/>
          <w:lang w:val="en-US" w:eastAsia="zh-CN" w:bidi="en-US"/>
        </w:rPr>
        <w:t>2、开展建设过程现场检查、监测，按季度向建设单位提交检查总结，针对发现问题提出建议整改措施。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color w:val="auto"/>
          <w:sz w:val="30"/>
          <w:szCs w:val="30"/>
        </w:rPr>
      </w:pPr>
      <w:bookmarkStart w:id="16" w:name="_Toc1121795282"/>
      <w:bookmarkStart w:id="17" w:name="_Toc1656768212"/>
      <w:bookmarkStart w:id="18" w:name="_Toc18778"/>
      <w:bookmarkStart w:id="19" w:name="_Toc1927194818"/>
      <w:r>
        <w:rPr>
          <w:color w:val="auto"/>
          <w:sz w:val="30"/>
          <w:szCs w:val="30"/>
        </w:rPr>
        <w:t>3、</w:t>
      </w:r>
      <w:r>
        <w:rPr>
          <w:rFonts w:hint="eastAsia"/>
          <w:color w:val="auto"/>
          <w:sz w:val="30"/>
          <w:szCs w:val="30"/>
          <w:lang w:eastAsia="zh-CN"/>
        </w:rPr>
        <w:t>水土保持</w:t>
      </w:r>
      <w:r>
        <w:rPr>
          <w:color w:val="auto"/>
          <w:sz w:val="30"/>
          <w:szCs w:val="30"/>
        </w:rPr>
        <w:t>工作</w:t>
      </w:r>
      <w:r>
        <w:rPr>
          <w:rFonts w:hint="eastAsia"/>
          <w:color w:val="auto"/>
          <w:sz w:val="30"/>
          <w:szCs w:val="30"/>
          <w:lang w:eastAsia="zh-CN"/>
        </w:rPr>
        <w:t>主要</w:t>
      </w:r>
      <w:r>
        <w:rPr>
          <w:color w:val="auto"/>
          <w:sz w:val="30"/>
          <w:szCs w:val="30"/>
        </w:rPr>
        <w:t>依据</w:t>
      </w:r>
      <w:bookmarkEnd w:id="16"/>
      <w:bookmarkEnd w:id="17"/>
      <w:bookmarkEnd w:id="18"/>
      <w:bookmarkEnd w:id="19"/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（1）《岩土工程勘察规范》（GB50021-2001）（2009年版）；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）《工程勘察通用规范》（GB55017-2021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  <w:lang w:val="en-US" w:eastAsia="zh-CN"/>
        </w:rPr>
        <w:t>《市政工程勘察规范》（CJJ56-2012）；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4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  <w:lang w:val="en-US" w:eastAsia="zh-CN"/>
        </w:rPr>
        <w:t>《建筑边坡工程技术规范》（GB50330-2013）；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（5）</w:t>
      </w:r>
      <w:r>
        <w:rPr>
          <w:rFonts w:hint="eastAsia"/>
          <w:color w:val="auto"/>
          <w:sz w:val="28"/>
          <w:szCs w:val="28"/>
        </w:rPr>
        <w:t>《滑坡防治工程勘查规范》（GB/T32864-2016）；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eastAsia="宋体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）</w:t>
      </w:r>
      <w:r>
        <w:rPr>
          <w:color w:val="auto"/>
          <w:sz w:val="28"/>
          <w:szCs w:val="28"/>
        </w:rPr>
        <w:t>《工程测量</w:t>
      </w:r>
      <w:r>
        <w:rPr>
          <w:rFonts w:hint="eastAsia"/>
          <w:color w:val="auto"/>
          <w:sz w:val="28"/>
          <w:szCs w:val="28"/>
        </w:rPr>
        <w:t>标准</w:t>
      </w:r>
      <w:r>
        <w:rPr>
          <w:color w:val="auto"/>
          <w:sz w:val="28"/>
          <w:szCs w:val="28"/>
        </w:rPr>
        <w:t>》</w:t>
      </w:r>
      <w:r>
        <w:rPr>
          <w:rFonts w:hint="eastAsia"/>
          <w:color w:val="auto"/>
          <w:sz w:val="28"/>
          <w:szCs w:val="28"/>
        </w:rPr>
        <w:t>（GB50026-20</w:t>
      </w:r>
      <w:r>
        <w:rPr>
          <w:color w:val="auto"/>
          <w:sz w:val="28"/>
          <w:szCs w:val="28"/>
        </w:rPr>
        <w:t>20</w:t>
      </w:r>
      <w:r>
        <w:rPr>
          <w:rFonts w:hint="eastAsia"/>
          <w:color w:val="auto"/>
          <w:sz w:val="28"/>
          <w:szCs w:val="28"/>
        </w:rPr>
        <w:t>）</w:t>
      </w:r>
      <w:r>
        <w:rPr>
          <w:rFonts w:hint="eastAsia"/>
          <w:color w:val="auto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）《建筑工程地质勘探与取样技术规程》（JGJ/T87-2012）；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（8）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《工程岩体分级标准》（GB/50218-2014）；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）《土的工程分类标准》（GB/T50145-2007）；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）《土工试验方法标准》（GBT50123-1999）；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（11）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《中国地震动参数区划图》（GB18306-2015）；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12</w:t>
      </w:r>
      <w:r>
        <w:rPr>
          <w:rFonts w:hint="eastAsia"/>
          <w:color w:val="auto"/>
          <w:sz w:val="28"/>
          <w:szCs w:val="28"/>
        </w:rPr>
        <w:t>）《建筑地基基础设计规范》（GB50007-2011）；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13</w:t>
      </w:r>
      <w:r>
        <w:rPr>
          <w:rFonts w:hint="eastAsia"/>
          <w:color w:val="auto"/>
          <w:sz w:val="28"/>
          <w:szCs w:val="28"/>
        </w:rPr>
        <w:t>）《建筑地基基础设计规范》（DBJ15-31-2016）；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14</w:t>
      </w:r>
      <w:r>
        <w:rPr>
          <w:rFonts w:hint="eastAsia"/>
          <w:color w:val="auto"/>
          <w:sz w:val="28"/>
          <w:szCs w:val="28"/>
        </w:rPr>
        <w:t>）《建筑抗震设计规范》（GB50011-2010）（2016年版）；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1</w:t>
      </w:r>
      <w:r>
        <w:rPr>
          <w:color w:val="auto"/>
          <w:sz w:val="28"/>
          <w:szCs w:val="28"/>
        </w:rPr>
        <w:t>5</w:t>
      </w:r>
      <w:r>
        <w:rPr>
          <w:rFonts w:hint="eastAsia"/>
          <w:color w:val="auto"/>
          <w:sz w:val="28"/>
          <w:szCs w:val="28"/>
        </w:rPr>
        <w:t>）《建筑桩基技术规范》（JGJ94-2008）；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eastAsia="宋体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16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</w:rPr>
        <w:t>《岩溶地区建筑地基基础技术规范》（DBJ/T15-136-2018）</w:t>
      </w:r>
      <w:r>
        <w:rPr>
          <w:rFonts w:hint="eastAsia"/>
          <w:color w:val="auto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eastAsia="宋体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17</w:t>
      </w:r>
      <w:r>
        <w:rPr>
          <w:rFonts w:hint="eastAsia"/>
          <w:color w:val="auto"/>
          <w:sz w:val="28"/>
          <w:szCs w:val="28"/>
        </w:rPr>
        <w:t>）《岩土工程勘察报告编制标准》（CECS 99：98）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/>
          <w:color w:val="auto"/>
          <w:sz w:val="30"/>
          <w:szCs w:val="30"/>
          <w:lang w:val="en-US" w:eastAsia="zh-CN"/>
        </w:rPr>
      </w:pPr>
      <w:bookmarkStart w:id="20" w:name="_Toc15041"/>
      <w:bookmarkStart w:id="21" w:name="_Toc2047251467"/>
      <w:bookmarkStart w:id="22" w:name="_Toc778489310"/>
      <w:bookmarkStart w:id="23" w:name="_Toc1967075561"/>
      <w:r>
        <w:rPr>
          <w:rFonts w:hint="eastAsia"/>
          <w:color w:val="auto"/>
          <w:sz w:val="30"/>
          <w:szCs w:val="30"/>
          <w:lang w:val="en-US" w:eastAsia="zh-CN"/>
        </w:rPr>
        <w:t>4、</w:t>
      </w:r>
      <w:bookmarkEnd w:id="20"/>
      <w:r>
        <w:rPr>
          <w:rFonts w:hint="eastAsia"/>
          <w:color w:val="auto"/>
          <w:sz w:val="30"/>
          <w:szCs w:val="30"/>
          <w:lang w:val="en-US" w:eastAsia="zh-CN"/>
        </w:rPr>
        <w:t>提交成果</w:t>
      </w:r>
      <w:bookmarkEnd w:id="21"/>
      <w:bookmarkEnd w:id="22"/>
      <w:bookmarkEnd w:id="23"/>
    </w:p>
    <w:p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color w:val="auto"/>
        </w:rPr>
      </w:pPr>
      <w:bookmarkStart w:id="24" w:name="_Toc4636"/>
      <w:bookmarkStart w:id="25" w:name="_Toc1527417900"/>
      <w:bookmarkStart w:id="26" w:name="_Toc236708839"/>
      <w:bookmarkStart w:id="27" w:name="_Toc1831558491"/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>4</w:t>
      </w:r>
      <w:r>
        <w:rPr>
          <w:rFonts w:ascii="Times New Roman" w:hAnsi="Times New Roman"/>
          <w:color w:val="auto"/>
          <w:sz w:val="28"/>
          <w:szCs w:val="28"/>
        </w:rPr>
        <w:t>.1</w:t>
      </w:r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 xml:space="preserve"> </w:t>
      </w:r>
      <w:bookmarkEnd w:id="24"/>
      <w:r>
        <w:rPr>
          <w:rFonts w:hint="eastAsia"/>
          <w:color w:val="auto"/>
          <w:sz w:val="28"/>
          <w:szCs w:val="28"/>
          <w:lang w:val="en-US" w:eastAsia="zh-CN"/>
        </w:rPr>
        <w:t>水土流失分析</w:t>
      </w:r>
      <w:r>
        <w:rPr>
          <w:rFonts w:ascii="Times New Roman" w:hAnsi="Times New Roman"/>
          <w:color w:val="auto"/>
          <w:sz w:val="28"/>
          <w:szCs w:val="28"/>
        </w:rPr>
        <w:t>报告</w:t>
      </w:r>
      <w:bookmarkEnd w:id="25"/>
      <w:bookmarkEnd w:id="26"/>
      <w:bookmarkEnd w:id="27"/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报告应由文字</w:t>
      </w:r>
      <w:r>
        <w:rPr>
          <w:rFonts w:hint="eastAsia"/>
          <w:color w:val="auto"/>
          <w:sz w:val="28"/>
          <w:szCs w:val="28"/>
          <w:lang w:eastAsia="zh-CN"/>
        </w:rPr>
        <w:t>报告</w:t>
      </w:r>
      <w:r>
        <w:rPr>
          <w:color w:val="auto"/>
          <w:sz w:val="28"/>
          <w:szCs w:val="28"/>
        </w:rPr>
        <w:t>和图表资料组成。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4</w:t>
      </w:r>
      <w:r>
        <w:rPr>
          <w:color w:val="auto"/>
          <w:sz w:val="28"/>
          <w:szCs w:val="28"/>
        </w:rPr>
        <w:t>.1.1文字</w:t>
      </w:r>
      <w:r>
        <w:rPr>
          <w:rFonts w:hint="eastAsia"/>
          <w:color w:val="auto"/>
          <w:sz w:val="28"/>
          <w:szCs w:val="28"/>
          <w:lang w:eastAsia="zh-CN"/>
        </w:rPr>
        <w:t>报告</w:t>
      </w:r>
      <w:r>
        <w:rPr>
          <w:color w:val="auto"/>
          <w:sz w:val="28"/>
          <w:szCs w:val="28"/>
        </w:rPr>
        <w:t>（应包括但不限于）：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（1）</w:t>
      </w:r>
      <w:r>
        <w:rPr>
          <w:rFonts w:hint="eastAsia"/>
          <w:color w:val="auto"/>
          <w:sz w:val="28"/>
          <w:szCs w:val="28"/>
        </w:rPr>
        <w:t>通过调查项目区地</w:t>
      </w:r>
      <w:r>
        <w:rPr>
          <w:rFonts w:hint="eastAsia"/>
          <w:color w:val="auto"/>
          <w:sz w:val="28"/>
          <w:szCs w:val="28"/>
          <w:lang w:eastAsia="zh-CN"/>
        </w:rPr>
        <w:t>形</w:t>
      </w:r>
      <w:r>
        <w:rPr>
          <w:rFonts w:hint="eastAsia"/>
          <w:color w:val="auto"/>
          <w:sz w:val="28"/>
          <w:szCs w:val="28"/>
        </w:rPr>
        <w:t>地貌、土壤、植被、地面组成物质等，</w:t>
      </w:r>
      <w:r>
        <w:rPr>
          <w:rFonts w:hint="eastAsia"/>
          <w:color w:val="auto"/>
          <w:sz w:val="28"/>
          <w:szCs w:val="28"/>
          <w:lang w:eastAsia="zh-CN"/>
        </w:rPr>
        <w:t>确定水土流失现状，结合工程计划实施方案，分析水土流失影响因素及具体情况</w:t>
      </w:r>
      <w:r>
        <w:rPr>
          <w:color w:val="auto"/>
          <w:sz w:val="28"/>
          <w:szCs w:val="28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（2）控制测量、地形测量等工作的具体内容及要求。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4</w:t>
      </w:r>
      <w:r>
        <w:rPr>
          <w:color w:val="auto"/>
          <w:sz w:val="28"/>
          <w:szCs w:val="28"/>
        </w:rPr>
        <w:t>.1.2图表资料包括（应包括但不限于）：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（1）控制点成果表。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color w:val="auto"/>
          <w:sz w:val="28"/>
          <w:szCs w:val="28"/>
        </w:rPr>
        <w:t>）1∶500地形图。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rFonts w:ascii="Times New Roman" w:hAnsi="Times New Roman"/>
          <w:color w:val="auto"/>
          <w:sz w:val="28"/>
          <w:szCs w:val="28"/>
        </w:rPr>
      </w:pPr>
      <w:bookmarkStart w:id="28" w:name="_Toc25550"/>
      <w:bookmarkStart w:id="29" w:name="_Toc1606880230"/>
      <w:bookmarkStart w:id="30" w:name="_Toc646661821"/>
      <w:bookmarkStart w:id="31" w:name="_Toc734906270"/>
      <w:r>
        <w:rPr>
          <w:rFonts w:hint="default" w:ascii="Times New Roman" w:hAnsi="Times New Roman"/>
          <w:color w:val="auto"/>
          <w:sz w:val="28"/>
          <w:szCs w:val="28"/>
          <w:lang w:eastAsia="zh-CN"/>
        </w:rPr>
        <w:t>4</w:t>
      </w:r>
      <w:r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 xml:space="preserve">2 </w:t>
      </w:r>
      <w:bookmarkEnd w:id="28"/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>水土保持方案报告</w:t>
      </w:r>
      <w:bookmarkEnd w:id="29"/>
      <w:bookmarkEnd w:id="30"/>
      <w:bookmarkEnd w:id="31"/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报告应由文字说明和图表资料组成。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default"/>
          <w:color w:val="auto"/>
          <w:sz w:val="28"/>
          <w:szCs w:val="28"/>
          <w:lang w:eastAsia="zh-CN"/>
        </w:rPr>
        <w:t>4</w:t>
      </w:r>
      <w:r>
        <w:rPr>
          <w:color w:val="auto"/>
          <w:sz w:val="28"/>
          <w:szCs w:val="28"/>
        </w:rPr>
        <w:t>.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color w:val="auto"/>
          <w:sz w:val="28"/>
          <w:szCs w:val="28"/>
        </w:rPr>
        <w:t>.1文字说明（应包括但不限于）：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工程概况与勘察工作概述</w:t>
      </w:r>
      <w:r>
        <w:rPr>
          <w:rFonts w:hint="eastAsia"/>
          <w:color w:val="auto"/>
          <w:sz w:val="28"/>
          <w:szCs w:val="28"/>
          <w:lang w:eastAsia="zh-CN"/>
        </w:rPr>
        <w:t>；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场地环境与工程地质条件</w:t>
      </w:r>
      <w:r>
        <w:rPr>
          <w:rFonts w:hint="eastAsia"/>
          <w:color w:val="auto"/>
          <w:sz w:val="28"/>
          <w:szCs w:val="28"/>
          <w:lang w:eastAsia="zh-CN"/>
        </w:rPr>
        <w:t>；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岩土指标统计</w:t>
      </w:r>
      <w:r>
        <w:rPr>
          <w:rFonts w:hint="eastAsia"/>
          <w:color w:val="auto"/>
          <w:sz w:val="28"/>
          <w:szCs w:val="28"/>
          <w:lang w:eastAsia="zh-CN"/>
        </w:rPr>
        <w:t>；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eastAsia="zh-CN"/>
        </w:rPr>
        <w:t>岩土工程评价；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挖方区</w:t>
      </w:r>
      <w:r>
        <w:rPr>
          <w:rFonts w:hint="eastAsia"/>
          <w:color w:val="auto"/>
          <w:sz w:val="28"/>
          <w:szCs w:val="28"/>
          <w:lang w:eastAsia="zh-CN"/>
        </w:rPr>
        <w:t>岩土分类及</w:t>
      </w:r>
      <w:r>
        <w:rPr>
          <w:color w:val="auto"/>
          <w:sz w:val="28"/>
          <w:szCs w:val="28"/>
        </w:rPr>
        <w:t>土石比估算</w:t>
      </w:r>
      <w:r>
        <w:rPr>
          <w:rFonts w:hint="eastAsia"/>
          <w:color w:val="auto"/>
          <w:sz w:val="28"/>
          <w:szCs w:val="28"/>
          <w:lang w:eastAsia="zh-CN"/>
        </w:rPr>
        <w:t>；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结论与建议</w:t>
      </w:r>
      <w:r>
        <w:rPr>
          <w:rFonts w:hint="eastAsia"/>
          <w:color w:val="auto"/>
          <w:sz w:val="28"/>
          <w:szCs w:val="28"/>
          <w:lang w:eastAsia="zh-CN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default"/>
          <w:color w:val="auto"/>
          <w:sz w:val="28"/>
          <w:szCs w:val="28"/>
          <w:lang w:eastAsia="zh-CN"/>
        </w:rPr>
        <w:t>4</w:t>
      </w:r>
      <w:r>
        <w:rPr>
          <w:color w:val="auto"/>
          <w:sz w:val="28"/>
          <w:szCs w:val="28"/>
        </w:rPr>
        <w:t>.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color w:val="auto"/>
          <w:sz w:val="28"/>
          <w:szCs w:val="28"/>
        </w:rPr>
        <w:t>.2图表资料包括（包括但不限于）：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（1）</w:t>
      </w:r>
      <w:r>
        <w:rPr>
          <w:rFonts w:hint="eastAsia"/>
          <w:color w:val="auto"/>
          <w:sz w:val="28"/>
          <w:szCs w:val="28"/>
          <w:lang w:eastAsia="zh-CN"/>
        </w:rPr>
        <w:t>钻孔</w:t>
      </w:r>
      <w:r>
        <w:rPr>
          <w:color w:val="auto"/>
          <w:sz w:val="28"/>
          <w:szCs w:val="28"/>
        </w:rPr>
        <w:t>平面</w:t>
      </w:r>
      <w:r>
        <w:rPr>
          <w:rFonts w:hint="eastAsia"/>
          <w:color w:val="auto"/>
          <w:sz w:val="28"/>
          <w:szCs w:val="28"/>
          <w:lang w:eastAsia="zh-CN"/>
        </w:rPr>
        <w:t>布置</w:t>
      </w:r>
      <w:r>
        <w:rPr>
          <w:color w:val="auto"/>
          <w:sz w:val="28"/>
          <w:szCs w:val="28"/>
        </w:rPr>
        <w:t>图；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（2）</w:t>
      </w:r>
      <w:r>
        <w:rPr>
          <w:rFonts w:hint="eastAsia"/>
          <w:color w:val="auto"/>
          <w:sz w:val="28"/>
          <w:szCs w:val="28"/>
          <w:lang w:eastAsia="zh-CN"/>
        </w:rPr>
        <w:t>剖</w:t>
      </w:r>
      <w:r>
        <w:rPr>
          <w:color w:val="auto"/>
          <w:sz w:val="28"/>
          <w:szCs w:val="28"/>
        </w:rPr>
        <w:t>面图；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color w:val="auto"/>
          <w:sz w:val="28"/>
          <w:szCs w:val="28"/>
        </w:rPr>
        <w:t>）钻孔地质柱状图；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4</w:t>
      </w:r>
      <w:r>
        <w:rPr>
          <w:color w:val="auto"/>
          <w:sz w:val="28"/>
          <w:szCs w:val="28"/>
        </w:rPr>
        <w:t>）</w:t>
      </w:r>
      <w:r>
        <w:rPr>
          <w:rFonts w:hint="eastAsia"/>
          <w:color w:val="auto"/>
          <w:sz w:val="28"/>
          <w:szCs w:val="28"/>
          <w:lang w:eastAsia="zh-CN"/>
        </w:rPr>
        <w:t>室内试验</w:t>
      </w:r>
      <w:r>
        <w:rPr>
          <w:color w:val="auto"/>
          <w:sz w:val="28"/>
          <w:szCs w:val="28"/>
        </w:rPr>
        <w:t>成果表；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5</w:t>
      </w:r>
      <w:r>
        <w:rPr>
          <w:color w:val="auto"/>
          <w:sz w:val="28"/>
          <w:szCs w:val="28"/>
        </w:rPr>
        <w:t>）其他资料和图片。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rFonts w:ascii="Times New Roman" w:hAnsi="Times New Roman"/>
          <w:color w:val="auto"/>
          <w:sz w:val="28"/>
          <w:szCs w:val="28"/>
        </w:rPr>
      </w:pPr>
      <w:bookmarkStart w:id="32" w:name="_Toc221969162"/>
      <w:bookmarkStart w:id="33" w:name="_Toc1358158575"/>
      <w:bookmarkStart w:id="34" w:name="_Toc22840"/>
      <w:bookmarkStart w:id="35" w:name="_Toc665615199"/>
      <w:r>
        <w:rPr>
          <w:rFonts w:hint="default" w:ascii="Times New Roman" w:hAnsi="Times New Roman"/>
          <w:color w:val="auto"/>
          <w:sz w:val="28"/>
          <w:szCs w:val="28"/>
          <w:lang w:eastAsia="zh-CN"/>
        </w:rPr>
        <w:t>4</w:t>
      </w:r>
      <w:r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 xml:space="preserve">3 </w:t>
      </w:r>
      <w:r>
        <w:rPr>
          <w:rFonts w:ascii="Times New Roman" w:hAnsi="Times New Roman"/>
          <w:color w:val="auto"/>
          <w:sz w:val="28"/>
          <w:szCs w:val="28"/>
        </w:rPr>
        <w:t>电子文件</w:t>
      </w:r>
      <w:bookmarkEnd w:id="32"/>
      <w:bookmarkEnd w:id="33"/>
      <w:bookmarkEnd w:id="34"/>
      <w:bookmarkEnd w:id="35"/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以上成果资料，应按基础资料的要求，分类整理，正式出版；以上内容均应同时附相应的电子文件。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jc w:val="left"/>
        <w:textAlignment w:val="auto"/>
        <w:rPr>
          <w:color w:val="auto"/>
          <w:sz w:val="28"/>
        </w:rPr>
      </w:pPr>
      <w:bookmarkStart w:id="36" w:name="_Toc491545726"/>
      <w:bookmarkStart w:id="37" w:name="_Toc590518566"/>
      <w:bookmarkStart w:id="38" w:name="_Toc21415"/>
      <w:bookmarkStart w:id="39" w:name="_Toc551493818"/>
      <w:r>
        <w:rPr>
          <w:rFonts w:hint="default"/>
          <w:color w:val="auto"/>
          <w:sz w:val="30"/>
          <w:szCs w:val="30"/>
          <w:lang w:eastAsia="zh-CN"/>
        </w:rPr>
        <w:t>5</w:t>
      </w:r>
      <w:r>
        <w:rPr>
          <w:color w:val="auto"/>
          <w:sz w:val="30"/>
          <w:szCs w:val="30"/>
        </w:rPr>
        <w:t>、其它</w:t>
      </w:r>
      <w:bookmarkEnd w:id="36"/>
      <w:bookmarkEnd w:id="37"/>
      <w:bookmarkEnd w:id="38"/>
      <w:bookmarkEnd w:id="39"/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（1）勘察工作进度应满足工程设计进度及业主要求。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）勘察过程中可根据现场实际情况对孔位进行适当调整，并将相关情况反馈给设计单位。</w:t>
      </w:r>
    </w:p>
    <w:p>
      <w:r>
        <w:rPr>
          <w:color w:val="auto"/>
          <w:sz w:val="28"/>
          <w:szCs w:val="28"/>
        </w:rPr>
        <w:t xml:space="preserve">    （</w:t>
      </w: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color w:val="auto"/>
          <w:sz w:val="28"/>
          <w:szCs w:val="28"/>
        </w:rPr>
        <w:t>）测量、勘察过程中应避免损伤现状管线，进行地质钻探前应对钻孔周围进行管线探测并人工开挖地表以下1.5</w:t>
      </w:r>
      <w:r>
        <w:rPr>
          <w:rFonts w:hint="eastAsia"/>
          <w:color w:val="auto"/>
          <w:sz w:val="28"/>
          <w:szCs w:val="28"/>
          <w:lang w:val="en-US" w:eastAsia="zh-CN"/>
        </w:rPr>
        <w:t>0</w:t>
      </w:r>
      <w:r>
        <w:rPr>
          <w:color w:val="auto"/>
          <w:sz w:val="28"/>
          <w:szCs w:val="28"/>
        </w:rPr>
        <w:t>m，确定不会损伤现状管线后方可开机钻探。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982C7B"/>
    <w:multiLevelType w:val="singleLevel"/>
    <w:tmpl w:val="A9982C7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77639"/>
    <w:rsid w:val="39F61173"/>
    <w:rsid w:val="44177639"/>
    <w:rsid w:val="63F6D039"/>
    <w:rsid w:val="AF8C77A6"/>
    <w:rsid w:val="E7DF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7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市规划和自然资源局花都区分局</Company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WWO_wpscloud_20230920110637-dec0f19faa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2026-08-18T16:03:00Z</dcterms:created>
  <dc:creator>ZQ</dc:creator>
  <cp:lastModifiedBy>ZQ</cp:lastModifiedBy>
  <dcterms:modified xsi:type="dcterms:W3CDTF">2026-08-19T09:42:51Z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8E03082A475B433FA26277CD1B111737_11</vt:lpwstr>
  </property>
</Properties>
</file>