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A583F3">
      <w:pPr>
        <w:bidi w:val="0"/>
        <w:jc w:val="center"/>
        <w:outlineLvl w:val="9"/>
        <w:rPr>
          <w:rFonts w:hint="default" w:ascii="Times New Roman" w:hAnsi="Times New Roman" w:eastAsia="方正小标宋简体" w:cs="Times New Roman"/>
          <w:sz w:val="44"/>
          <w:szCs w:val="44"/>
          <w:highlight w:val="none"/>
          <w:u w:val="none" w:color="auto"/>
          <w:lang w:val="en-US" w:eastAsia="zh-CN"/>
        </w:rPr>
      </w:pPr>
      <w:bookmarkStart w:id="0" w:name="_Toc1660"/>
      <w:bookmarkStart w:id="1" w:name="_Toc17502"/>
      <w:bookmarkStart w:id="2" w:name="_Toc4639"/>
      <w:bookmarkStart w:id="3" w:name="_Toc17289"/>
      <w:r>
        <w:rPr>
          <w:rFonts w:hint="eastAsia" w:eastAsia="方正小标宋简体" w:cs="Times New Roman"/>
          <w:sz w:val="44"/>
          <w:szCs w:val="44"/>
          <w:highlight w:val="none"/>
          <w:u w:val="none" w:color="auto"/>
          <w:lang w:val="en-US" w:eastAsia="zh-CN"/>
        </w:rPr>
        <w:t>广州市</w:t>
      </w:r>
      <w:r>
        <w:rPr>
          <w:rFonts w:hint="default" w:ascii="Times New Roman" w:hAnsi="Times New Roman" w:eastAsia="方正小标宋简体" w:cs="Times New Roman"/>
          <w:sz w:val="44"/>
          <w:szCs w:val="44"/>
          <w:highlight w:val="none"/>
          <w:u w:val="none" w:color="auto"/>
          <w:lang w:val="en-US" w:eastAsia="zh-CN"/>
        </w:rPr>
        <w:t>花都区“十五五”时期卫生健康事业</w:t>
      </w:r>
    </w:p>
    <w:p w14:paraId="69BAE621">
      <w:pPr>
        <w:bidi w:val="0"/>
        <w:jc w:val="center"/>
        <w:outlineLvl w:val="9"/>
        <w:rPr>
          <w:rFonts w:hint="default" w:ascii="Times New Roman" w:hAnsi="Times New Roman" w:eastAsia="方正小标宋简体" w:cs="Times New Roman"/>
          <w:sz w:val="44"/>
          <w:szCs w:val="44"/>
          <w:highlight w:val="none"/>
          <w:u w:val="none" w:color="auto"/>
          <w:lang w:val="en-US" w:eastAsia="zh-CN"/>
        </w:rPr>
      </w:pPr>
      <w:r>
        <w:rPr>
          <w:rFonts w:hint="default" w:ascii="Times New Roman" w:hAnsi="Times New Roman" w:eastAsia="方正小标宋简体" w:cs="Times New Roman"/>
          <w:sz w:val="44"/>
          <w:szCs w:val="44"/>
          <w:highlight w:val="none"/>
          <w:u w:val="none" w:color="auto"/>
          <w:lang w:val="en-US" w:eastAsia="zh-CN"/>
        </w:rPr>
        <w:t>发展规划</w:t>
      </w:r>
      <w:bookmarkEnd w:id="0"/>
      <w:bookmarkEnd w:id="1"/>
      <w:bookmarkEnd w:id="2"/>
      <w:bookmarkEnd w:id="3"/>
    </w:p>
    <w:p w14:paraId="75315401">
      <w:pPr>
        <w:bidi w:val="0"/>
        <w:jc w:val="center"/>
        <w:outlineLvl w:val="9"/>
        <w:rPr>
          <w:rFonts w:hint="eastAsia" w:ascii="楷体_GB2312" w:hAnsi="楷体_GB2312" w:eastAsia="楷体_GB2312" w:cs="楷体_GB2312"/>
          <w:sz w:val="32"/>
          <w:szCs w:val="32"/>
          <w:highlight w:val="none"/>
          <w:u w:val="none" w:color="auto"/>
          <w:lang w:val="en-US" w:eastAsia="zh-CN"/>
        </w:rPr>
      </w:pPr>
      <w:r>
        <w:rPr>
          <w:rFonts w:hint="eastAsia" w:ascii="楷体_GB2312" w:hAnsi="楷体_GB2312" w:eastAsia="楷体_GB2312" w:cs="楷体_GB2312"/>
          <w:sz w:val="32"/>
          <w:szCs w:val="32"/>
          <w:highlight w:val="none"/>
          <w:u w:val="none" w:color="auto"/>
          <w:lang w:val="en-US" w:eastAsia="zh-CN"/>
        </w:rPr>
        <w:t>（征求意见稿）</w:t>
      </w:r>
    </w:p>
    <w:p w14:paraId="4377A83A">
      <w:pPr>
        <w:pStyle w:val="6"/>
        <w:jc w:val="center"/>
        <w:outlineLvl w:val="9"/>
        <w:rPr>
          <w:rFonts w:hint="default" w:ascii="Times New Roman" w:hAnsi="Times New Roman" w:eastAsia="方正小标宋简体" w:cs="Times New Roman"/>
          <w:sz w:val="44"/>
          <w:szCs w:val="44"/>
          <w:highlight w:val="none"/>
          <w:u w:val="none" w:color="auto"/>
          <w:lang w:val="en-US" w:eastAsia="zh-CN"/>
        </w:rPr>
      </w:pPr>
    </w:p>
    <w:p w14:paraId="1174A522">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cs="Times New Roman"/>
          <w:highlight w:val="none"/>
          <w:u w:val="none" w:color="auto"/>
          <w:lang w:val="en-US" w:eastAsia="zh-CN"/>
        </w:rPr>
      </w:pPr>
      <w:bookmarkStart w:id="4" w:name="_Toc7773"/>
      <w:bookmarkStart w:id="5" w:name="_Toc17655"/>
      <w:bookmarkStart w:id="6" w:name="_Toc31390"/>
      <w:r>
        <w:rPr>
          <w:rFonts w:hint="default" w:ascii="Times New Roman" w:hAnsi="Times New Roman" w:cs="Times New Roman"/>
          <w:highlight w:val="none"/>
          <w:u w:val="none" w:color="auto"/>
          <w:lang w:val="en-US" w:eastAsia="zh-CN"/>
        </w:rPr>
        <w:t>根据</w:t>
      </w:r>
      <w:r>
        <w:rPr>
          <w:rFonts w:hint="default" w:ascii="Times New Roman" w:hAnsi="Times New Roman" w:cs="Times New Roman"/>
          <w:b w:val="0"/>
          <w:bCs w:val="0"/>
          <w:color w:val="000000" w:themeColor="text1"/>
          <w:sz w:val="32"/>
          <w:szCs w:val="32"/>
          <w:highlight w:val="none"/>
          <w:u w:val="none" w:color="auto"/>
          <w:lang w:val="en-US" w:eastAsia="zh-CN"/>
          <w14:textFill>
            <w14:solidFill>
              <w14:schemeClr w14:val="tx1"/>
            </w14:solidFill>
          </w14:textFill>
        </w:rPr>
        <w:t>《国民健康“十五五”规划》《广东省卫生健康事业发展“十五五”规划》《广州市卫生健康事业发展“十五五”规划》和《广州市花都区国民经济和社会发展第十五个五年规划纲要》，结合花都区实际，制定本规划。规划期限为2026年至2030年。</w:t>
      </w:r>
    </w:p>
    <w:p w14:paraId="66758085">
      <w:pPr>
        <w:pStyle w:val="2"/>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0"/>
        <w:rPr>
          <w:rFonts w:hint="default" w:ascii="Times New Roman" w:hAnsi="Times New Roman" w:cs="Times New Roman"/>
          <w:highlight w:val="none"/>
          <w:u w:val="none" w:color="auto"/>
          <w:lang w:val="en-US" w:eastAsia="zh-CN"/>
        </w:rPr>
      </w:pPr>
      <w:r>
        <w:rPr>
          <w:rFonts w:hint="default" w:ascii="Times New Roman" w:hAnsi="Times New Roman" w:cs="Times New Roman"/>
          <w:highlight w:val="none"/>
          <w:u w:val="none" w:color="auto"/>
          <w:lang w:val="en-US" w:eastAsia="zh-CN"/>
        </w:rPr>
        <w:t>一、总体要求</w:t>
      </w:r>
    </w:p>
    <w:p w14:paraId="13DC609A">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eastAsia="楷体_GB2312" w:cs="Times New Roman"/>
          <w:highlight w:val="none"/>
          <w:u w:val="none" w:color="auto"/>
          <w:lang w:val="en-US" w:eastAsia="zh-CN"/>
        </w:rPr>
      </w:pPr>
      <w:bookmarkStart w:id="7" w:name="_Toc21256"/>
      <w:bookmarkStart w:id="8" w:name="_Toc22056"/>
      <w:bookmarkStart w:id="9" w:name="_Toc29814"/>
      <w:r>
        <w:rPr>
          <w:rFonts w:hint="default" w:ascii="Times New Roman" w:hAnsi="Times New Roman" w:eastAsia="楷体_GB2312" w:cs="Times New Roman"/>
          <w:highlight w:val="none"/>
          <w:u w:val="none" w:color="auto"/>
          <w:lang w:val="en-US" w:eastAsia="zh-CN"/>
        </w:rPr>
        <w:t>（一）发展基础。</w:t>
      </w:r>
    </w:p>
    <w:p w14:paraId="27C65757">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cs="Times New Roman"/>
          <w:b w:val="0"/>
          <w:bCs w:val="0"/>
          <w:caps w:val="0"/>
          <w:color w:val="0F1115"/>
          <w:spacing w:val="0"/>
          <w:sz w:val="32"/>
          <w:szCs w:val="32"/>
          <w:highlight w:val="none"/>
          <w:u w:val="none" w:color="auto"/>
          <w:shd w:val="clear" w:fill="FFFFFF"/>
          <w:lang w:val="en-US" w:eastAsia="zh-CN"/>
        </w:rPr>
      </w:pPr>
      <w:r>
        <w:rPr>
          <w:rFonts w:hint="default" w:ascii="Times New Roman" w:hAnsi="Times New Roman" w:cs="Times New Roman"/>
          <w:highlight w:val="none"/>
          <w:u w:val="none" w:color="auto"/>
          <w:lang w:val="en-US" w:eastAsia="zh-CN"/>
        </w:rPr>
        <w:t>“十四五”期间，花都区坚持以习近平新时代中国特色社会主义思想为指引，全面贯彻党的二十大和</w:t>
      </w:r>
      <w:r>
        <w:rPr>
          <w:rFonts w:hint="eastAsia" w:cs="Times New Roman"/>
          <w:highlight w:val="none"/>
          <w:u w:val="none" w:color="auto"/>
          <w:lang w:val="en-US" w:eastAsia="zh-CN"/>
        </w:rPr>
        <w:t>二十届</w:t>
      </w:r>
      <w:r>
        <w:rPr>
          <w:rFonts w:hint="default" w:ascii="Times New Roman" w:hAnsi="Times New Roman" w:cs="Times New Roman"/>
          <w:highlight w:val="none"/>
          <w:u w:val="none" w:color="auto"/>
          <w:lang w:val="en-US" w:eastAsia="zh-CN"/>
        </w:rPr>
        <w:t>历次全会精神，把保障人民健康放在优先发展的战略位置，全力推进健康花都建设</w:t>
      </w:r>
      <w:bookmarkEnd w:id="7"/>
      <w:bookmarkEnd w:id="8"/>
      <w:bookmarkEnd w:id="9"/>
      <w:r>
        <w:rPr>
          <w:rFonts w:hint="default" w:ascii="Times New Roman" w:hAnsi="Times New Roman" w:cs="Times New Roman"/>
          <w:highlight w:val="none"/>
          <w:u w:val="none" w:color="auto"/>
          <w:lang w:val="en-US" w:eastAsia="zh-CN"/>
        </w:rPr>
        <w:t>。高水平医</w:t>
      </w:r>
      <w:r>
        <w:rPr>
          <w:rFonts w:hint="eastAsia" w:cs="Times New Roman"/>
          <w:highlight w:val="none"/>
          <w:u w:val="none" w:color="auto"/>
          <w:lang w:val="en-US" w:eastAsia="zh-CN"/>
        </w:rPr>
        <w:t>疗</w:t>
      </w:r>
      <w:r>
        <w:rPr>
          <w:rFonts w:hint="default" w:ascii="Times New Roman" w:hAnsi="Times New Roman" w:cs="Times New Roman"/>
          <w:highlight w:val="none"/>
          <w:u w:val="none" w:color="auto"/>
          <w:lang w:val="en-US" w:eastAsia="zh-CN"/>
        </w:rPr>
        <w:t>资源供给能力取得历史性突破：</w:t>
      </w:r>
      <w:r>
        <w:rPr>
          <w:rStyle w:val="19"/>
          <w:rFonts w:hint="default" w:ascii="Times New Roman" w:hAnsi="Times New Roman" w:eastAsia="仿宋_GB2312" w:cs="Times New Roman"/>
          <w:b w:val="0"/>
          <w:bCs w:val="0"/>
          <w:caps w:val="0"/>
          <w:color w:val="0F1115"/>
          <w:spacing w:val="0"/>
          <w:sz w:val="32"/>
          <w:szCs w:val="32"/>
          <w:highlight w:val="none"/>
          <w:u w:val="none" w:color="auto"/>
          <w:shd w:val="clear" w:fill="FFFFFF"/>
          <w:lang w:val="en-US" w:eastAsia="zh-CN"/>
        </w:rPr>
        <w:t>中山大学孙逸仙纪念医院花都院区建成开业</w:t>
      </w:r>
      <w:r>
        <w:rPr>
          <w:rFonts w:hint="default" w:ascii="Times New Roman" w:hAnsi="Times New Roman" w:eastAsia="仿宋_GB2312" w:cs="Times New Roman"/>
          <w:b w:val="0"/>
          <w:bCs w:val="0"/>
          <w:caps w:val="0"/>
          <w:color w:val="0F1115"/>
          <w:spacing w:val="0"/>
          <w:sz w:val="32"/>
          <w:szCs w:val="32"/>
          <w:highlight w:val="none"/>
          <w:u w:val="none" w:color="auto"/>
          <w:shd w:val="clear" w:fill="FFFFFF"/>
        </w:rPr>
        <w:t>并加挂“广州空港医疗中心”，广州市妇女儿童医疗中心花都院区</w:t>
      </w:r>
      <w:r>
        <w:rPr>
          <w:rFonts w:hint="default" w:ascii="Times New Roman" w:hAnsi="Times New Roman" w:eastAsia="仿宋_GB2312" w:cs="Times New Roman"/>
          <w:b w:val="0"/>
          <w:bCs w:val="0"/>
          <w:caps w:val="0"/>
          <w:color w:val="0F1115"/>
          <w:spacing w:val="0"/>
          <w:sz w:val="32"/>
          <w:szCs w:val="32"/>
          <w:highlight w:val="none"/>
          <w:u w:val="none" w:color="auto"/>
          <w:shd w:val="clear" w:fill="FFFFFF"/>
          <w:lang w:eastAsia="zh-CN"/>
        </w:rPr>
        <w:t>、</w:t>
      </w:r>
      <w:r>
        <w:rPr>
          <w:rFonts w:hint="default" w:ascii="Times New Roman" w:hAnsi="Times New Roman" w:eastAsia="仿宋_GB2312" w:cs="Times New Roman"/>
          <w:b w:val="0"/>
          <w:bCs w:val="0"/>
          <w:caps w:val="0"/>
          <w:color w:val="0F1115"/>
          <w:spacing w:val="0"/>
          <w:sz w:val="32"/>
          <w:szCs w:val="32"/>
          <w:highlight w:val="none"/>
          <w:u w:val="none" w:color="auto"/>
          <w:shd w:val="clear" w:fill="FFFFFF"/>
        </w:rPr>
        <w:t>广东省中医临床研究院花都院区</w:t>
      </w:r>
      <w:r>
        <w:rPr>
          <w:rFonts w:hint="default" w:ascii="Times New Roman" w:hAnsi="Times New Roman" w:cs="Times New Roman"/>
          <w:b w:val="0"/>
          <w:bCs w:val="0"/>
          <w:caps w:val="0"/>
          <w:color w:val="0F1115"/>
          <w:spacing w:val="0"/>
          <w:sz w:val="32"/>
          <w:szCs w:val="32"/>
          <w:highlight w:val="none"/>
          <w:u w:val="none" w:color="auto"/>
          <w:shd w:val="clear" w:fill="FFFFFF"/>
          <w:lang w:val="en-US" w:eastAsia="zh-CN"/>
        </w:rPr>
        <w:t>建设稳步推进</w:t>
      </w:r>
      <w:r>
        <w:rPr>
          <w:rFonts w:hint="default" w:ascii="Times New Roman" w:hAnsi="Times New Roman" w:cs="Times New Roman"/>
          <w:b w:val="0"/>
          <w:bCs w:val="0"/>
          <w:caps w:val="0"/>
          <w:color w:val="0F1115"/>
          <w:spacing w:val="0"/>
          <w:sz w:val="32"/>
          <w:szCs w:val="32"/>
          <w:highlight w:val="none"/>
          <w:u w:val="none" w:color="auto"/>
          <w:shd w:val="clear" w:fill="FFFFFF"/>
          <w:lang w:eastAsia="zh-CN"/>
        </w:rPr>
        <w:t>。</w:t>
      </w:r>
      <w:r>
        <w:rPr>
          <w:rFonts w:hint="eastAsia" w:ascii="Times New Roman" w:hAnsi="Times New Roman" w:cs="Times New Roman"/>
          <w:highlight w:val="none"/>
          <w:u w:val="none" w:color="auto"/>
          <w:lang w:val="en-US" w:eastAsia="zh-CN"/>
        </w:rPr>
        <w:t>区级医疗保障能力逐步提升：</w:t>
      </w:r>
      <w:r>
        <w:rPr>
          <w:rFonts w:hint="default" w:ascii="Times New Roman" w:hAnsi="Times New Roman" w:cs="Times New Roman"/>
          <w:highlight w:val="none"/>
          <w:u w:val="none" w:color="auto"/>
          <w:lang w:val="en-US" w:eastAsia="zh-CN"/>
        </w:rPr>
        <w:t>获批全省首批、全市唯一的基层卫生健康综合试验区，全市唯一以区为单位入选中央</w:t>
      </w:r>
      <w:r>
        <w:rPr>
          <w:rFonts w:hint="default" w:ascii="Times New Roman" w:hAnsi="Times New Roman" w:eastAsia="仿宋_GB2312" w:cs="Times New Roman"/>
          <w:b w:val="0"/>
          <w:bCs w:val="0"/>
          <w:caps w:val="0"/>
          <w:color w:val="0F1115"/>
          <w:spacing w:val="0"/>
          <w:sz w:val="32"/>
          <w:szCs w:val="32"/>
          <w:highlight w:val="none"/>
          <w:u w:val="none" w:color="auto"/>
          <w:shd w:val="clear" w:fill="FFFFFF"/>
          <w:lang w:val="en-US" w:eastAsia="zh-CN"/>
        </w:rPr>
        <w:t>资金支持公立医院改革与高质量发展示范项目广州子项目</w:t>
      </w:r>
      <w:r>
        <w:rPr>
          <w:rFonts w:hint="default" w:ascii="Times New Roman" w:hAnsi="Times New Roman" w:cs="Times New Roman"/>
          <w:b w:val="0"/>
          <w:bCs w:val="0"/>
          <w:caps w:val="0"/>
          <w:color w:val="0F1115"/>
          <w:spacing w:val="0"/>
          <w:sz w:val="32"/>
          <w:szCs w:val="32"/>
          <w:highlight w:val="none"/>
          <w:u w:val="none" w:color="auto"/>
          <w:shd w:val="clear" w:fill="FFFFFF"/>
          <w:lang w:val="en-US" w:eastAsia="zh-CN"/>
        </w:rPr>
        <w:t>，率先探索城市医疗集团医保总额付费改革，“区强镇活村稳”基层医疗卫生改革模式获中央政研室宣传推广，并入选广东省“百千万工程”集成式改革典型案例。</w:t>
      </w:r>
      <w:r>
        <w:rPr>
          <w:rFonts w:hint="eastAsia" w:ascii="Times New Roman" w:hAnsi="Times New Roman" w:cs="Times New Roman"/>
          <w:b w:val="0"/>
          <w:bCs w:val="0"/>
          <w:caps w:val="0"/>
          <w:color w:val="0F1115"/>
          <w:spacing w:val="0"/>
          <w:sz w:val="32"/>
          <w:szCs w:val="32"/>
          <w:highlight w:val="none"/>
          <w:u w:val="none" w:color="auto"/>
          <w:shd w:val="clear" w:fill="FFFFFF"/>
          <w:lang w:val="en-US" w:eastAsia="zh-CN"/>
        </w:rPr>
        <w:t>民生福祉日益</w:t>
      </w:r>
      <w:r>
        <w:rPr>
          <w:rFonts w:hint="eastAsia" w:cs="Times New Roman"/>
          <w:b w:val="0"/>
          <w:bCs w:val="0"/>
          <w:caps w:val="0"/>
          <w:color w:val="0F1115"/>
          <w:spacing w:val="0"/>
          <w:sz w:val="32"/>
          <w:szCs w:val="32"/>
          <w:highlight w:val="none"/>
          <w:u w:val="none" w:color="auto"/>
          <w:shd w:val="clear" w:fill="FFFFFF"/>
          <w:lang w:val="en-US" w:eastAsia="zh-CN"/>
        </w:rPr>
        <w:t>提升</w:t>
      </w:r>
      <w:r>
        <w:rPr>
          <w:rFonts w:hint="eastAsia" w:ascii="Times New Roman" w:hAnsi="Times New Roman" w:cs="Times New Roman"/>
          <w:b w:val="0"/>
          <w:bCs w:val="0"/>
          <w:caps w:val="0"/>
          <w:color w:val="0F1115"/>
          <w:spacing w:val="0"/>
          <w:sz w:val="32"/>
          <w:szCs w:val="32"/>
          <w:highlight w:val="none"/>
          <w:u w:val="none" w:color="auto"/>
          <w:shd w:val="clear" w:fill="FFFFFF"/>
          <w:lang w:val="en-US" w:eastAsia="zh-CN"/>
        </w:rPr>
        <w:t>：</w:t>
      </w:r>
      <w:r>
        <w:rPr>
          <w:rFonts w:hint="default" w:ascii="Times New Roman" w:hAnsi="Times New Roman" w:cs="Times New Roman"/>
          <w:highlight w:val="none"/>
          <w:u w:val="none" w:color="auto"/>
          <w:lang w:val="en-US" w:eastAsia="zh-CN"/>
        </w:rPr>
        <w:t>2025年全区人均预期寿命达到83.0岁，居民健康素养水平达41.76%，每千人口拥有3岁以下婴幼儿托位数达3.9个，“</w:t>
      </w:r>
      <w:r>
        <w:rPr>
          <w:rFonts w:hint="eastAsia" w:cs="Times New Roman"/>
          <w:highlight w:val="none"/>
          <w:u w:val="none" w:color="auto"/>
          <w:lang w:val="en-US" w:eastAsia="zh-CN"/>
        </w:rPr>
        <w:t>玖玖金康</w:t>
      </w:r>
      <w:r>
        <w:rPr>
          <w:rFonts w:hint="default" w:ascii="Times New Roman" w:hAnsi="Times New Roman" w:cs="Times New Roman"/>
          <w:highlight w:val="none"/>
          <w:u w:val="none" w:color="auto"/>
          <w:lang w:val="en-US" w:eastAsia="zh-CN"/>
        </w:rPr>
        <w:t>”</w:t>
      </w:r>
      <w:r>
        <w:rPr>
          <w:rFonts w:hint="default" w:ascii="Times New Roman" w:hAnsi="Times New Roman" w:cs="Times New Roman"/>
          <w:color w:val="000000"/>
          <w:kern w:val="0"/>
          <w:sz w:val="32"/>
          <w:szCs w:val="32"/>
          <w:highlight w:val="none"/>
          <w:u w:val="none" w:color="auto"/>
          <w:lang w:val="en-US" w:eastAsia="zh-CN" w:bidi="ar"/>
        </w:rPr>
        <w:t>项目惠及全区户籍老年人口。</w:t>
      </w:r>
    </w:p>
    <w:p w14:paraId="0AB771C0">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eastAsia="楷体_GB2312" w:cs="Times New Roman"/>
          <w:b w:val="0"/>
          <w:bCs w:val="0"/>
          <w:caps w:val="0"/>
          <w:color w:val="0F1115"/>
          <w:spacing w:val="0"/>
          <w:sz w:val="32"/>
          <w:szCs w:val="32"/>
          <w:highlight w:val="none"/>
          <w:u w:val="none" w:color="auto"/>
          <w:shd w:val="clear" w:fill="FFFFFF"/>
          <w:lang w:val="en-US" w:eastAsia="zh-CN"/>
        </w:rPr>
      </w:pPr>
      <w:r>
        <w:rPr>
          <w:rFonts w:hint="default" w:ascii="Times New Roman" w:hAnsi="Times New Roman" w:eastAsia="楷体_GB2312" w:cs="Times New Roman"/>
          <w:b w:val="0"/>
          <w:bCs w:val="0"/>
          <w:caps w:val="0"/>
          <w:color w:val="0F1115"/>
          <w:spacing w:val="0"/>
          <w:sz w:val="32"/>
          <w:szCs w:val="32"/>
          <w:highlight w:val="none"/>
          <w:u w:val="none" w:color="auto"/>
          <w:shd w:val="clear" w:fill="FFFFFF"/>
          <w:lang w:val="en-US" w:eastAsia="zh-CN"/>
        </w:rPr>
        <w:t>（二）形势与挑战。</w:t>
      </w:r>
    </w:p>
    <w:p w14:paraId="15FE0F40">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cs="Times New Roman"/>
          <w:highlight w:val="none"/>
          <w:u w:val="none" w:color="auto"/>
          <w:lang w:val="en-US" w:eastAsia="zh-CN"/>
        </w:rPr>
      </w:pPr>
      <w:r>
        <w:rPr>
          <w:rFonts w:hint="default" w:ascii="Times New Roman" w:hAnsi="Times New Roman" w:cs="Times New Roman"/>
          <w:highlight w:val="none"/>
          <w:u w:val="none" w:color="auto"/>
          <w:lang w:val="en-US" w:eastAsia="zh-CN"/>
        </w:rPr>
        <w:t>花都区作为广州北部增长极</w:t>
      </w:r>
      <w:r>
        <w:rPr>
          <w:rFonts w:hint="eastAsia" w:cs="Times New Roman"/>
          <w:highlight w:val="none"/>
          <w:u w:val="none" w:color="auto"/>
          <w:lang w:val="en-US" w:eastAsia="zh-CN"/>
        </w:rPr>
        <w:t>、</w:t>
      </w:r>
      <w:r>
        <w:rPr>
          <w:rFonts w:hint="default" w:ascii="Times New Roman" w:hAnsi="Times New Roman" w:cs="Times New Roman"/>
          <w:highlight w:val="none"/>
          <w:u w:val="none" w:color="auto"/>
          <w:lang w:val="en-US" w:eastAsia="zh-CN"/>
        </w:rPr>
        <w:t>空铁枢纽门户</w:t>
      </w:r>
      <w:r>
        <w:rPr>
          <w:rFonts w:hint="eastAsia" w:cs="Times New Roman"/>
          <w:highlight w:val="none"/>
          <w:u w:val="none" w:color="auto"/>
          <w:lang w:val="en-US" w:eastAsia="zh-CN"/>
        </w:rPr>
        <w:t>和</w:t>
      </w:r>
      <w:r>
        <w:rPr>
          <w:rFonts w:hint="default" w:ascii="Times New Roman" w:hAnsi="Times New Roman" w:cs="Times New Roman"/>
          <w:highlight w:val="none"/>
          <w:u w:val="none" w:color="auto"/>
          <w:lang w:val="en-US" w:eastAsia="zh-CN"/>
        </w:rPr>
        <w:t>广州市人口净流入区之一，对“十五五”时期优质医疗资源扩容与均衡布局、公共卫生服务体系韧性、智慧医疗便民服务、发展卫生健康新质生产力等提出了更高要求。同时，人口老龄化与少子化趋势叠加，老年医学、康复护理、普惠托育、心理健康等服务需求集中释放，全生命周期健康保障压力持续加大。花都区卫生健康事业发展机遇与挑战并存，正处于从“基本均衡”向“优质高效、全面普惠”跨越的关键窗口期。</w:t>
      </w:r>
    </w:p>
    <w:p w14:paraId="6F219BC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u w:val="none" w:color="auto"/>
          <w:lang w:val="en-US" w:eastAsia="zh-CN"/>
        </w:rPr>
      </w:pPr>
      <w:r>
        <w:rPr>
          <w:rFonts w:hint="default" w:ascii="Times New Roman" w:hAnsi="Times New Roman" w:eastAsia="楷体_GB2312" w:cs="Times New Roman"/>
          <w:u w:val="none" w:color="auto"/>
          <w:lang w:val="en-US" w:eastAsia="zh-CN"/>
        </w:rPr>
        <w:t>（三）工作目标。</w:t>
      </w:r>
    </w:p>
    <w:p w14:paraId="75CA7E87">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cs="Times New Roman"/>
          <w:highlight w:val="none"/>
          <w:u w:val="none" w:color="auto"/>
          <w:lang w:val="en-US" w:eastAsia="zh-CN"/>
        </w:rPr>
      </w:pPr>
      <w:r>
        <w:rPr>
          <w:rFonts w:hint="default" w:ascii="Times New Roman" w:hAnsi="Times New Roman" w:cs="Times New Roman"/>
          <w:highlight w:val="none"/>
          <w:u w:val="none" w:color="auto"/>
          <w:lang w:val="en-US" w:eastAsia="zh-CN"/>
        </w:rPr>
        <w:t>以健康花都建设为统领，以推动高质量发展为主题，以深化医改为动力，以优质资源扩容和区域均衡布局为重点，</w:t>
      </w:r>
      <w:r>
        <w:rPr>
          <w:rFonts w:hint="default" w:ascii="Times New Roman" w:hAnsi="Times New Roman" w:cs="Times New Roman"/>
          <w:u w:val="none" w:color="auto"/>
          <w:lang w:val="en-US" w:eastAsia="zh-CN"/>
        </w:rPr>
        <w:t>到2030年，</w:t>
      </w:r>
      <w:r>
        <w:rPr>
          <w:rFonts w:hint="default" w:ascii="Times New Roman" w:hAnsi="Times New Roman" w:cs="Times New Roman"/>
          <w:highlight w:val="none"/>
          <w:u w:val="none" w:color="auto"/>
          <w:lang w:val="en-US" w:eastAsia="zh-CN"/>
        </w:rPr>
        <w:t>全面建成体系更完善、资源更优质、服务更高效、保障更有力、群众更满意的全人群、全周期卫生健康服务体系，居民健康水平持续提升，为2035年基本建成健康中国的远景目标奠定坚实基础。</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836"/>
        <w:gridCol w:w="2253"/>
        <w:gridCol w:w="1090"/>
        <w:gridCol w:w="1339"/>
        <w:gridCol w:w="1339"/>
        <w:gridCol w:w="1411"/>
      </w:tblGrid>
      <w:tr w14:paraId="0A5B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7"/>
            <w:vAlign w:val="center"/>
          </w:tcPr>
          <w:p w14:paraId="0B8ED8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楷体_GB2312" w:cs="Times New Roman"/>
                <w:sz w:val="28"/>
                <w:szCs w:val="28"/>
                <w:u w:val="none" w:color="auto"/>
                <w:lang w:val="en-US" w:eastAsia="zh-CN"/>
              </w:rPr>
              <w:t>专栏1  广州市花都区“十五五”时期卫生健康事业发展主要指标</w:t>
            </w:r>
          </w:p>
        </w:tc>
      </w:tr>
      <w:tr w14:paraId="003A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Align w:val="center"/>
          </w:tcPr>
          <w:p w14:paraId="4573B0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领域</w:t>
            </w:r>
          </w:p>
        </w:tc>
        <w:tc>
          <w:tcPr>
            <w:tcW w:w="836" w:type="dxa"/>
            <w:vAlign w:val="center"/>
          </w:tcPr>
          <w:p w14:paraId="528AB7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序号</w:t>
            </w:r>
          </w:p>
        </w:tc>
        <w:tc>
          <w:tcPr>
            <w:tcW w:w="2253" w:type="dxa"/>
            <w:vAlign w:val="center"/>
          </w:tcPr>
          <w:p w14:paraId="3C7BBA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指标</w:t>
            </w:r>
          </w:p>
        </w:tc>
        <w:tc>
          <w:tcPr>
            <w:tcW w:w="1090" w:type="dxa"/>
            <w:vAlign w:val="center"/>
          </w:tcPr>
          <w:p w14:paraId="3B5381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单位</w:t>
            </w:r>
          </w:p>
        </w:tc>
        <w:tc>
          <w:tcPr>
            <w:tcW w:w="1339" w:type="dxa"/>
            <w:vAlign w:val="center"/>
          </w:tcPr>
          <w:p w14:paraId="0EDB58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2025年完成值</w:t>
            </w:r>
          </w:p>
        </w:tc>
        <w:tc>
          <w:tcPr>
            <w:tcW w:w="1339" w:type="dxa"/>
            <w:vAlign w:val="center"/>
          </w:tcPr>
          <w:p w14:paraId="5EE7F4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2030年目标值</w:t>
            </w:r>
          </w:p>
        </w:tc>
        <w:tc>
          <w:tcPr>
            <w:tcW w:w="1411" w:type="dxa"/>
            <w:vAlign w:val="center"/>
          </w:tcPr>
          <w:p w14:paraId="35E42B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指标属性</w:t>
            </w:r>
          </w:p>
        </w:tc>
      </w:tr>
      <w:tr w14:paraId="69C2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restart"/>
            <w:vAlign w:val="center"/>
          </w:tcPr>
          <w:p w14:paraId="40120D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健康水平</w:t>
            </w:r>
          </w:p>
        </w:tc>
        <w:tc>
          <w:tcPr>
            <w:tcW w:w="836" w:type="dxa"/>
            <w:vAlign w:val="center"/>
          </w:tcPr>
          <w:p w14:paraId="2155C4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1</w:t>
            </w:r>
          </w:p>
        </w:tc>
        <w:tc>
          <w:tcPr>
            <w:tcW w:w="2253" w:type="dxa"/>
            <w:vAlign w:val="center"/>
          </w:tcPr>
          <w:p w14:paraId="5BAF4393">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人均预期寿命</w:t>
            </w:r>
          </w:p>
        </w:tc>
        <w:tc>
          <w:tcPr>
            <w:tcW w:w="1090" w:type="dxa"/>
            <w:vAlign w:val="center"/>
          </w:tcPr>
          <w:p w14:paraId="1ABE28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岁</w:t>
            </w:r>
          </w:p>
        </w:tc>
        <w:tc>
          <w:tcPr>
            <w:tcW w:w="1339" w:type="dxa"/>
            <w:vAlign w:val="center"/>
          </w:tcPr>
          <w:p w14:paraId="627EC70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highlight w:val="none"/>
                <w:u w:val="none" w:color="auto"/>
                <w:lang w:val="en-US" w:eastAsia="zh-CN"/>
              </w:rPr>
              <w:t>83.0</w:t>
            </w:r>
          </w:p>
        </w:tc>
        <w:tc>
          <w:tcPr>
            <w:tcW w:w="1339" w:type="dxa"/>
            <w:vAlign w:val="center"/>
          </w:tcPr>
          <w:p w14:paraId="70273FD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highlight w:val="none"/>
                <w:u w:val="none" w:color="auto"/>
                <w:lang w:val="en-US" w:eastAsia="zh-CN"/>
              </w:rPr>
              <w:t>83.2</w:t>
            </w:r>
          </w:p>
        </w:tc>
        <w:tc>
          <w:tcPr>
            <w:tcW w:w="1411" w:type="dxa"/>
            <w:vAlign w:val="center"/>
          </w:tcPr>
          <w:p w14:paraId="0934EAF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预期性</w:t>
            </w:r>
          </w:p>
        </w:tc>
      </w:tr>
      <w:tr w14:paraId="36A8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vAlign w:val="center"/>
          </w:tcPr>
          <w:p w14:paraId="493046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p>
        </w:tc>
        <w:tc>
          <w:tcPr>
            <w:tcW w:w="836" w:type="dxa"/>
            <w:vAlign w:val="center"/>
          </w:tcPr>
          <w:p w14:paraId="493AB1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2</w:t>
            </w:r>
          </w:p>
        </w:tc>
        <w:tc>
          <w:tcPr>
            <w:tcW w:w="2253" w:type="dxa"/>
            <w:vAlign w:val="center"/>
          </w:tcPr>
          <w:p w14:paraId="59F0042C">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孕产妇死亡率</w:t>
            </w:r>
          </w:p>
        </w:tc>
        <w:tc>
          <w:tcPr>
            <w:tcW w:w="1090" w:type="dxa"/>
            <w:vAlign w:val="center"/>
          </w:tcPr>
          <w:p w14:paraId="44361A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1/10万</w:t>
            </w:r>
          </w:p>
        </w:tc>
        <w:tc>
          <w:tcPr>
            <w:tcW w:w="1339" w:type="dxa"/>
            <w:vAlign w:val="center"/>
          </w:tcPr>
          <w:p w14:paraId="58B0C41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0</w:t>
            </w:r>
          </w:p>
        </w:tc>
        <w:tc>
          <w:tcPr>
            <w:tcW w:w="1339" w:type="dxa"/>
            <w:vAlign w:val="center"/>
          </w:tcPr>
          <w:p w14:paraId="02809FF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highlight w:val="none"/>
                <w:u w:val="none" w:color="auto"/>
                <w:lang w:val="en-US" w:eastAsia="zh-CN"/>
              </w:rPr>
              <w:t>≤7.5</w:t>
            </w:r>
          </w:p>
        </w:tc>
        <w:tc>
          <w:tcPr>
            <w:tcW w:w="1411" w:type="dxa"/>
            <w:vAlign w:val="center"/>
          </w:tcPr>
          <w:p w14:paraId="5989842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预期性</w:t>
            </w:r>
          </w:p>
        </w:tc>
      </w:tr>
      <w:tr w14:paraId="4118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vAlign w:val="center"/>
          </w:tcPr>
          <w:p w14:paraId="378580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p>
        </w:tc>
        <w:tc>
          <w:tcPr>
            <w:tcW w:w="836" w:type="dxa"/>
            <w:vAlign w:val="center"/>
          </w:tcPr>
          <w:p w14:paraId="650E51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3</w:t>
            </w:r>
          </w:p>
        </w:tc>
        <w:tc>
          <w:tcPr>
            <w:tcW w:w="2253" w:type="dxa"/>
            <w:vAlign w:val="center"/>
          </w:tcPr>
          <w:p w14:paraId="30DC85FF">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婴儿死亡率</w:t>
            </w:r>
          </w:p>
        </w:tc>
        <w:tc>
          <w:tcPr>
            <w:tcW w:w="1090" w:type="dxa"/>
            <w:vAlign w:val="center"/>
          </w:tcPr>
          <w:p w14:paraId="32CFDF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w:t>
            </w:r>
          </w:p>
        </w:tc>
        <w:tc>
          <w:tcPr>
            <w:tcW w:w="1339" w:type="dxa"/>
            <w:vAlign w:val="center"/>
          </w:tcPr>
          <w:p w14:paraId="45E6E51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1.79</w:t>
            </w:r>
          </w:p>
        </w:tc>
        <w:tc>
          <w:tcPr>
            <w:tcW w:w="1339" w:type="dxa"/>
            <w:vAlign w:val="center"/>
          </w:tcPr>
          <w:p w14:paraId="0573BDC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w:t>
            </w:r>
            <w:r>
              <w:rPr>
                <w:rFonts w:hint="default" w:ascii="Times New Roman" w:hAnsi="Times New Roman" w:cs="Times New Roman"/>
                <w:sz w:val="28"/>
                <w:szCs w:val="28"/>
                <w:highlight w:val="none"/>
                <w:u w:val="none" w:color="auto"/>
                <w:lang w:val="en-US" w:eastAsia="zh-CN"/>
              </w:rPr>
              <w:t>2.8</w:t>
            </w:r>
          </w:p>
        </w:tc>
        <w:tc>
          <w:tcPr>
            <w:tcW w:w="1411" w:type="dxa"/>
            <w:vAlign w:val="center"/>
          </w:tcPr>
          <w:p w14:paraId="6D3EBFC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预期性</w:t>
            </w:r>
          </w:p>
        </w:tc>
      </w:tr>
      <w:tr w14:paraId="3CB8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Align w:val="center"/>
          </w:tcPr>
          <w:p w14:paraId="05EF79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健康生活</w:t>
            </w:r>
          </w:p>
        </w:tc>
        <w:tc>
          <w:tcPr>
            <w:tcW w:w="836" w:type="dxa"/>
            <w:vAlign w:val="center"/>
          </w:tcPr>
          <w:p w14:paraId="611555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4</w:t>
            </w:r>
          </w:p>
        </w:tc>
        <w:tc>
          <w:tcPr>
            <w:tcW w:w="2253" w:type="dxa"/>
            <w:vAlign w:val="center"/>
          </w:tcPr>
          <w:p w14:paraId="72AC868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居民健康素养水平</w:t>
            </w:r>
          </w:p>
        </w:tc>
        <w:tc>
          <w:tcPr>
            <w:tcW w:w="1090" w:type="dxa"/>
            <w:vAlign w:val="center"/>
          </w:tcPr>
          <w:p w14:paraId="76FDBB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w:t>
            </w:r>
          </w:p>
        </w:tc>
        <w:tc>
          <w:tcPr>
            <w:tcW w:w="1339" w:type="dxa"/>
            <w:vAlign w:val="center"/>
          </w:tcPr>
          <w:p w14:paraId="559F582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41.</w:t>
            </w:r>
            <w:r>
              <w:rPr>
                <w:rFonts w:hint="eastAsia" w:cs="Times New Roman"/>
                <w:sz w:val="28"/>
                <w:szCs w:val="28"/>
                <w:highlight w:val="none"/>
                <w:u w:val="none" w:color="auto"/>
                <w:lang w:val="en-US" w:eastAsia="zh-CN"/>
              </w:rPr>
              <w:t>7</w:t>
            </w:r>
            <w:r>
              <w:rPr>
                <w:rFonts w:hint="default" w:ascii="Times New Roman" w:hAnsi="Times New Roman" w:eastAsia="仿宋_GB2312" w:cs="Times New Roman"/>
                <w:sz w:val="28"/>
                <w:szCs w:val="28"/>
                <w:highlight w:val="none"/>
                <w:u w:val="none" w:color="auto"/>
                <w:lang w:val="en-US" w:eastAsia="zh-CN"/>
              </w:rPr>
              <w:t>6</w:t>
            </w:r>
          </w:p>
        </w:tc>
        <w:tc>
          <w:tcPr>
            <w:tcW w:w="1339" w:type="dxa"/>
            <w:vAlign w:val="center"/>
          </w:tcPr>
          <w:p w14:paraId="6715408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eastAsia" w:cs="Times New Roman"/>
                <w:sz w:val="28"/>
                <w:szCs w:val="28"/>
                <w:highlight w:val="none"/>
                <w:u w:val="none" w:color="auto"/>
                <w:lang w:val="en-US" w:eastAsia="zh-CN"/>
              </w:rPr>
              <w:t>49</w:t>
            </w:r>
          </w:p>
        </w:tc>
        <w:tc>
          <w:tcPr>
            <w:tcW w:w="1411" w:type="dxa"/>
            <w:vAlign w:val="center"/>
          </w:tcPr>
          <w:p w14:paraId="5F7CB10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预期性</w:t>
            </w:r>
          </w:p>
        </w:tc>
      </w:tr>
      <w:tr w14:paraId="477F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restart"/>
            <w:vAlign w:val="center"/>
          </w:tcPr>
          <w:p w14:paraId="2C8204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健康服务</w:t>
            </w:r>
          </w:p>
        </w:tc>
        <w:tc>
          <w:tcPr>
            <w:tcW w:w="836" w:type="dxa"/>
            <w:vAlign w:val="center"/>
          </w:tcPr>
          <w:p w14:paraId="643DDC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5</w:t>
            </w:r>
          </w:p>
        </w:tc>
        <w:tc>
          <w:tcPr>
            <w:tcW w:w="2253" w:type="dxa"/>
            <w:vAlign w:val="center"/>
          </w:tcPr>
          <w:p w14:paraId="3C068C16">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每千人口医疗卫生机构床位数</w:t>
            </w:r>
          </w:p>
        </w:tc>
        <w:tc>
          <w:tcPr>
            <w:tcW w:w="1090" w:type="dxa"/>
            <w:vAlign w:val="center"/>
          </w:tcPr>
          <w:p w14:paraId="368BCF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张</w:t>
            </w:r>
          </w:p>
        </w:tc>
        <w:tc>
          <w:tcPr>
            <w:tcW w:w="1339" w:type="dxa"/>
            <w:vAlign w:val="center"/>
          </w:tcPr>
          <w:p w14:paraId="53CEF27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3.2</w:t>
            </w:r>
            <w:r>
              <w:rPr>
                <w:rFonts w:hint="default" w:ascii="Times New Roman" w:hAnsi="Times New Roman" w:cs="Times New Roman"/>
                <w:sz w:val="28"/>
                <w:szCs w:val="28"/>
                <w:highlight w:val="none"/>
                <w:u w:val="none" w:color="auto"/>
                <w:lang w:val="en-US" w:eastAsia="zh-CN"/>
              </w:rPr>
              <w:t>8</w:t>
            </w:r>
          </w:p>
        </w:tc>
        <w:tc>
          <w:tcPr>
            <w:tcW w:w="1339" w:type="dxa"/>
            <w:vAlign w:val="center"/>
          </w:tcPr>
          <w:p w14:paraId="7122148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highlight w:val="none"/>
                <w:u w:val="none" w:color="auto"/>
                <w:lang w:val="en-US" w:eastAsia="zh-CN"/>
              </w:rPr>
              <w:t>3.58</w:t>
            </w:r>
          </w:p>
        </w:tc>
        <w:tc>
          <w:tcPr>
            <w:tcW w:w="1411" w:type="dxa"/>
            <w:vAlign w:val="center"/>
          </w:tcPr>
          <w:p w14:paraId="46263E9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预期性</w:t>
            </w:r>
          </w:p>
        </w:tc>
      </w:tr>
      <w:tr w14:paraId="78BE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vAlign w:val="center"/>
          </w:tcPr>
          <w:p w14:paraId="530DAE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p>
        </w:tc>
        <w:tc>
          <w:tcPr>
            <w:tcW w:w="836" w:type="dxa"/>
            <w:vAlign w:val="center"/>
          </w:tcPr>
          <w:p w14:paraId="19AF8E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6</w:t>
            </w:r>
          </w:p>
        </w:tc>
        <w:tc>
          <w:tcPr>
            <w:tcW w:w="2253" w:type="dxa"/>
            <w:vAlign w:val="center"/>
          </w:tcPr>
          <w:p w14:paraId="7F4EAFBD">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每千人口执业（助理）医师床位数</w:t>
            </w:r>
          </w:p>
        </w:tc>
        <w:tc>
          <w:tcPr>
            <w:tcW w:w="1090" w:type="dxa"/>
            <w:vAlign w:val="center"/>
          </w:tcPr>
          <w:p w14:paraId="36F85B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人</w:t>
            </w:r>
          </w:p>
        </w:tc>
        <w:tc>
          <w:tcPr>
            <w:tcW w:w="1339" w:type="dxa"/>
            <w:vAlign w:val="center"/>
          </w:tcPr>
          <w:p w14:paraId="798616D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3.</w:t>
            </w:r>
            <w:r>
              <w:rPr>
                <w:rFonts w:hint="default" w:ascii="Times New Roman" w:hAnsi="Times New Roman" w:cs="Times New Roman"/>
                <w:sz w:val="28"/>
                <w:szCs w:val="28"/>
                <w:highlight w:val="none"/>
                <w:u w:val="none" w:color="auto"/>
                <w:lang w:val="en-US" w:eastAsia="zh-CN"/>
              </w:rPr>
              <w:t>60</w:t>
            </w:r>
          </w:p>
        </w:tc>
        <w:tc>
          <w:tcPr>
            <w:tcW w:w="1339" w:type="dxa"/>
            <w:vAlign w:val="center"/>
          </w:tcPr>
          <w:p w14:paraId="354946B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highlight w:val="none"/>
                <w:u w:val="none" w:color="auto"/>
                <w:lang w:val="en-US" w:eastAsia="zh-CN"/>
              </w:rPr>
              <w:t>3.80</w:t>
            </w:r>
          </w:p>
        </w:tc>
        <w:tc>
          <w:tcPr>
            <w:tcW w:w="1411" w:type="dxa"/>
            <w:vAlign w:val="center"/>
          </w:tcPr>
          <w:p w14:paraId="1CFB2F0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预期性</w:t>
            </w:r>
          </w:p>
        </w:tc>
      </w:tr>
      <w:tr w14:paraId="54E4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vAlign w:val="center"/>
          </w:tcPr>
          <w:p w14:paraId="24B96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p>
        </w:tc>
        <w:tc>
          <w:tcPr>
            <w:tcW w:w="836" w:type="dxa"/>
            <w:vAlign w:val="center"/>
          </w:tcPr>
          <w:p w14:paraId="49713C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7</w:t>
            </w:r>
          </w:p>
        </w:tc>
        <w:tc>
          <w:tcPr>
            <w:tcW w:w="2253" w:type="dxa"/>
            <w:vAlign w:val="center"/>
          </w:tcPr>
          <w:p w14:paraId="2A0D0A2A">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每千人口注册护士数</w:t>
            </w:r>
          </w:p>
        </w:tc>
        <w:tc>
          <w:tcPr>
            <w:tcW w:w="1090" w:type="dxa"/>
            <w:vAlign w:val="center"/>
          </w:tcPr>
          <w:p w14:paraId="266556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人</w:t>
            </w:r>
          </w:p>
        </w:tc>
        <w:tc>
          <w:tcPr>
            <w:tcW w:w="1339" w:type="dxa"/>
            <w:vAlign w:val="center"/>
          </w:tcPr>
          <w:p w14:paraId="436DF4E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4.1</w:t>
            </w:r>
            <w:r>
              <w:rPr>
                <w:rFonts w:hint="default" w:ascii="Times New Roman" w:hAnsi="Times New Roman" w:cs="Times New Roman"/>
                <w:sz w:val="28"/>
                <w:szCs w:val="28"/>
                <w:highlight w:val="none"/>
                <w:u w:val="none" w:color="auto"/>
                <w:lang w:val="en-US" w:eastAsia="zh-CN"/>
              </w:rPr>
              <w:t>4</w:t>
            </w:r>
          </w:p>
        </w:tc>
        <w:tc>
          <w:tcPr>
            <w:tcW w:w="1339" w:type="dxa"/>
            <w:vAlign w:val="center"/>
          </w:tcPr>
          <w:p w14:paraId="67DF620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highlight w:val="none"/>
                <w:u w:val="none" w:color="auto"/>
                <w:lang w:val="en-US" w:eastAsia="zh-CN"/>
              </w:rPr>
              <w:t>4.37</w:t>
            </w:r>
          </w:p>
        </w:tc>
        <w:tc>
          <w:tcPr>
            <w:tcW w:w="1411" w:type="dxa"/>
            <w:vAlign w:val="center"/>
          </w:tcPr>
          <w:p w14:paraId="1D11EEF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预期性</w:t>
            </w:r>
          </w:p>
        </w:tc>
      </w:tr>
      <w:tr w14:paraId="1B6E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vAlign w:val="center"/>
          </w:tcPr>
          <w:p w14:paraId="605A17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p>
        </w:tc>
        <w:tc>
          <w:tcPr>
            <w:tcW w:w="836" w:type="dxa"/>
            <w:vAlign w:val="center"/>
          </w:tcPr>
          <w:p w14:paraId="33397F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8</w:t>
            </w:r>
          </w:p>
        </w:tc>
        <w:tc>
          <w:tcPr>
            <w:tcW w:w="2253" w:type="dxa"/>
            <w:vAlign w:val="center"/>
          </w:tcPr>
          <w:p w14:paraId="210B4505">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每万人口全科医生数</w:t>
            </w:r>
          </w:p>
        </w:tc>
        <w:tc>
          <w:tcPr>
            <w:tcW w:w="1090" w:type="dxa"/>
            <w:vAlign w:val="center"/>
          </w:tcPr>
          <w:p w14:paraId="4DF316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人</w:t>
            </w:r>
          </w:p>
        </w:tc>
        <w:tc>
          <w:tcPr>
            <w:tcW w:w="1339" w:type="dxa"/>
            <w:vAlign w:val="center"/>
          </w:tcPr>
          <w:p w14:paraId="7005B5F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4.</w:t>
            </w:r>
            <w:r>
              <w:rPr>
                <w:rFonts w:hint="default" w:ascii="Times New Roman" w:hAnsi="Times New Roman" w:cs="Times New Roman"/>
                <w:sz w:val="28"/>
                <w:szCs w:val="28"/>
                <w:highlight w:val="none"/>
                <w:u w:val="none" w:color="auto"/>
                <w:lang w:val="en-US" w:eastAsia="zh-CN"/>
              </w:rPr>
              <w:t>49</w:t>
            </w:r>
          </w:p>
        </w:tc>
        <w:tc>
          <w:tcPr>
            <w:tcW w:w="1339" w:type="dxa"/>
            <w:vAlign w:val="center"/>
          </w:tcPr>
          <w:p w14:paraId="6C4A1AF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highlight w:val="none"/>
                <w:u w:val="none" w:color="auto"/>
                <w:lang w:val="en-US" w:eastAsia="zh-CN"/>
              </w:rPr>
              <w:t>4.5</w:t>
            </w:r>
          </w:p>
        </w:tc>
        <w:tc>
          <w:tcPr>
            <w:tcW w:w="1411" w:type="dxa"/>
            <w:vAlign w:val="center"/>
          </w:tcPr>
          <w:p w14:paraId="4736966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约束性</w:t>
            </w:r>
          </w:p>
        </w:tc>
      </w:tr>
      <w:tr w14:paraId="5B70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vAlign w:val="center"/>
          </w:tcPr>
          <w:p w14:paraId="597FA1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p>
        </w:tc>
        <w:tc>
          <w:tcPr>
            <w:tcW w:w="836" w:type="dxa"/>
            <w:vAlign w:val="center"/>
          </w:tcPr>
          <w:p w14:paraId="38408D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9</w:t>
            </w:r>
          </w:p>
        </w:tc>
        <w:tc>
          <w:tcPr>
            <w:tcW w:w="2253" w:type="dxa"/>
            <w:vAlign w:val="center"/>
          </w:tcPr>
          <w:p w14:paraId="1EADBAD4">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highlight w:val="none"/>
                <w:u w:val="none" w:color="auto"/>
                <w:lang w:val="en-US" w:eastAsia="zh-CN"/>
              </w:rPr>
              <w:t>普惠托位占总托位比例</w:t>
            </w:r>
          </w:p>
        </w:tc>
        <w:tc>
          <w:tcPr>
            <w:tcW w:w="1090" w:type="dxa"/>
            <w:vAlign w:val="center"/>
          </w:tcPr>
          <w:p w14:paraId="2F6997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w:t>
            </w:r>
          </w:p>
        </w:tc>
        <w:tc>
          <w:tcPr>
            <w:tcW w:w="1339" w:type="dxa"/>
            <w:vAlign w:val="center"/>
          </w:tcPr>
          <w:p w14:paraId="59520C7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highlight w:val="none"/>
                <w:u w:val="none" w:color="auto"/>
                <w:lang w:val="en-US" w:eastAsia="zh-CN"/>
              </w:rPr>
              <w:t>71.55</w:t>
            </w:r>
          </w:p>
        </w:tc>
        <w:tc>
          <w:tcPr>
            <w:tcW w:w="1339" w:type="dxa"/>
            <w:vAlign w:val="center"/>
          </w:tcPr>
          <w:p w14:paraId="4E94AFC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highlight w:val="none"/>
                <w:u w:val="none" w:color="auto"/>
                <w:lang w:val="en-US" w:eastAsia="zh-CN"/>
              </w:rPr>
              <w:t>75</w:t>
            </w:r>
          </w:p>
        </w:tc>
        <w:tc>
          <w:tcPr>
            <w:tcW w:w="1411" w:type="dxa"/>
            <w:vAlign w:val="center"/>
          </w:tcPr>
          <w:p w14:paraId="056FB3D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eastAsia="仿宋_GB2312" w:cs="Times New Roman"/>
                <w:sz w:val="28"/>
                <w:szCs w:val="28"/>
                <w:highlight w:val="none"/>
                <w:u w:val="none" w:color="auto"/>
                <w:lang w:val="en-US" w:eastAsia="zh-CN"/>
              </w:rPr>
              <w:t>预期性</w:t>
            </w:r>
          </w:p>
        </w:tc>
      </w:tr>
      <w:tr w14:paraId="73F6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vAlign w:val="center"/>
          </w:tcPr>
          <w:p w14:paraId="1AC4A2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p>
        </w:tc>
        <w:tc>
          <w:tcPr>
            <w:tcW w:w="836" w:type="dxa"/>
            <w:vAlign w:val="center"/>
          </w:tcPr>
          <w:p w14:paraId="0C33D1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10</w:t>
            </w:r>
          </w:p>
        </w:tc>
        <w:tc>
          <w:tcPr>
            <w:tcW w:w="2253" w:type="dxa"/>
            <w:vAlign w:val="center"/>
          </w:tcPr>
          <w:p w14:paraId="0B845D54">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highlight w:val="none"/>
                <w:u w:val="none" w:color="auto"/>
                <w:lang w:val="en-US" w:eastAsia="zh-CN"/>
              </w:rPr>
              <w:t>3岁以下婴幼儿入托率</w:t>
            </w:r>
          </w:p>
        </w:tc>
        <w:tc>
          <w:tcPr>
            <w:tcW w:w="1090" w:type="dxa"/>
            <w:vAlign w:val="center"/>
          </w:tcPr>
          <w:p w14:paraId="09A89B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u w:val="none" w:color="auto"/>
                <w:vertAlign w:val="baseline"/>
                <w:lang w:val="en-US" w:eastAsia="zh-CN"/>
              </w:rPr>
              <w:t>％</w:t>
            </w:r>
          </w:p>
        </w:tc>
        <w:tc>
          <w:tcPr>
            <w:tcW w:w="1339" w:type="dxa"/>
            <w:vAlign w:val="center"/>
          </w:tcPr>
          <w:p w14:paraId="13FCB3D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highlight w:val="none"/>
                <w:u w:val="none" w:color="auto"/>
                <w:lang w:val="en-US" w:eastAsia="zh-CN"/>
              </w:rPr>
              <w:t>7.95</w:t>
            </w:r>
          </w:p>
        </w:tc>
        <w:tc>
          <w:tcPr>
            <w:tcW w:w="1339" w:type="dxa"/>
            <w:vAlign w:val="center"/>
          </w:tcPr>
          <w:p w14:paraId="2ECF935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highlight w:val="none"/>
                <w:u w:val="none" w:color="auto"/>
                <w:lang w:val="en-US" w:eastAsia="zh-CN"/>
              </w:rPr>
              <w:t>13.95</w:t>
            </w:r>
          </w:p>
        </w:tc>
        <w:tc>
          <w:tcPr>
            <w:tcW w:w="1411" w:type="dxa"/>
            <w:vAlign w:val="center"/>
          </w:tcPr>
          <w:p w14:paraId="07E4B93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sz w:val="28"/>
                <w:szCs w:val="28"/>
                <w:u w:val="none" w:color="auto"/>
                <w:vertAlign w:val="baseline"/>
                <w:lang w:val="en-US" w:eastAsia="zh-CN"/>
              </w:rPr>
            </w:pPr>
            <w:r>
              <w:rPr>
                <w:rFonts w:hint="default" w:ascii="Times New Roman" w:hAnsi="Times New Roman" w:cs="Times New Roman"/>
                <w:sz w:val="28"/>
                <w:szCs w:val="28"/>
                <w:highlight w:val="none"/>
                <w:u w:val="none" w:color="auto"/>
                <w:lang w:val="en-US" w:eastAsia="zh-CN"/>
              </w:rPr>
              <w:t>预期性</w:t>
            </w:r>
          </w:p>
        </w:tc>
      </w:tr>
    </w:tbl>
    <w:p w14:paraId="70A2A5A7">
      <w:pPr>
        <w:ind w:firstLine="640" w:firstLineChars="200"/>
        <w:rPr>
          <w:rFonts w:hint="default" w:ascii="Times New Roman" w:hAnsi="Times New Roman" w:eastAsia="黑体" w:cs="Times New Roman"/>
          <w:highlight w:val="none"/>
          <w:u w:val="none" w:color="auto"/>
          <w:lang w:val="en-US" w:eastAsia="zh-CN"/>
        </w:rPr>
      </w:pPr>
      <w:r>
        <w:rPr>
          <w:rFonts w:hint="default" w:ascii="Times New Roman" w:hAnsi="Times New Roman" w:eastAsia="黑体" w:cs="Times New Roman"/>
          <w:u w:val="none" w:color="auto"/>
          <w:lang w:val="en-US" w:eastAsia="zh-CN"/>
        </w:rPr>
        <w:t>二、</w:t>
      </w:r>
      <w:bookmarkEnd w:id="4"/>
      <w:bookmarkEnd w:id="5"/>
      <w:bookmarkEnd w:id="6"/>
      <w:bookmarkStart w:id="10" w:name="_Toc9695"/>
      <w:r>
        <w:rPr>
          <w:rFonts w:hint="default" w:ascii="Times New Roman" w:hAnsi="Times New Roman" w:eastAsia="黑体" w:cs="Times New Roman"/>
          <w:highlight w:val="none"/>
          <w:u w:val="none" w:color="auto"/>
          <w:lang w:val="en-US" w:eastAsia="zh-CN"/>
        </w:rPr>
        <w:t>进一步优化医疗卫生资源配置</w:t>
      </w:r>
      <w:bookmarkEnd w:id="10"/>
    </w:p>
    <w:p w14:paraId="3B25ED2F">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default" w:ascii="Times New Roman" w:hAnsi="Times New Roman" w:eastAsia="楷体_GB2312" w:cs="Times New Roman"/>
          <w:b w:val="0"/>
          <w:bCs w:val="0"/>
          <w:highlight w:val="none"/>
          <w:u w:val="none" w:color="auto"/>
          <w:lang w:val="en-US" w:eastAsia="zh-CN"/>
        </w:rPr>
      </w:pPr>
      <w:r>
        <w:rPr>
          <w:rFonts w:hint="default" w:ascii="Times New Roman" w:hAnsi="Times New Roman" w:eastAsia="楷体_GB2312" w:cs="Times New Roman"/>
          <w:b w:val="0"/>
          <w:bCs w:val="0"/>
          <w:highlight w:val="none"/>
          <w:u w:val="none" w:color="auto"/>
          <w:lang w:val="en-US" w:eastAsia="zh-CN"/>
        </w:rPr>
        <w:t>（一）合理提升医疗资源配置水平。</w:t>
      </w:r>
    </w:p>
    <w:p w14:paraId="2A2D6554">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default" w:ascii="Times New Roman" w:hAnsi="Times New Roman" w:eastAsia="楷体_GB2312" w:cs="Times New Roman"/>
          <w:b w:val="0"/>
          <w:bCs w:val="0"/>
          <w:highlight w:val="none"/>
          <w:u w:val="none" w:color="auto"/>
          <w:lang w:val="en-US" w:eastAsia="zh-CN"/>
        </w:rPr>
      </w:pPr>
      <w:r>
        <w:rPr>
          <w:rFonts w:hint="default" w:ascii="Times New Roman" w:hAnsi="Times New Roman" w:cs="Times New Roman"/>
          <w:b w:val="0"/>
          <w:bCs w:val="0"/>
          <w:highlight w:val="none"/>
          <w:u w:val="none" w:color="auto"/>
          <w:lang w:val="en-US" w:eastAsia="zh-CN"/>
        </w:rPr>
        <w:t>贯彻落实“强基、稳二、控三”的公立医疗卫生机构发展思路，根据《广州市卫生设施布局规划（2021</w:t>
      </w:r>
      <w:r>
        <w:rPr>
          <w:rFonts w:hint="eastAsia" w:cs="Times New Roman"/>
          <w:b w:val="0"/>
          <w:bCs w:val="0"/>
          <w:highlight w:val="none"/>
          <w:u w:val="none" w:color="auto"/>
          <w:lang w:val="en-US" w:eastAsia="zh-CN"/>
        </w:rPr>
        <w:t>—</w:t>
      </w:r>
      <w:r>
        <w:rPr>
          <w:rFonts w:hint="default" w:ascii="Times New Roman" w:hAnsi="Times New Roman" w:cs="Times New Roman"/>
          <w:b w:val="0"/>
          <w:bCs w:val="0"/>
          <w:highlight w:val="none"/>
          <w:u w:val="none" w:color="auto"/>
          <w:lang w:val="en-US" w:eastAsia="zh-CN"/>
        </w:rPr>
        <w:t>2035年）》提升医疗资源配置水平。增加康复、护理、安宁疗护等接续性床位供给，鼓励有条件的医疗机构增加精神卫生、儿科等专科床位。支持符合条件的基层医疗卫生机构增设床位。鼓励三级医院医师多点执业。增加公共卫生、基层卫生人才供给。加强精神卫生、康复、儿科、老年科、托育等专科人才队伍建设。力争到2030年，</w:t>
      </w:r>
      <w:r>
        <w:rPr>
          <w:rFonts w:hint="eastAsia" w:cs="Times New Roman"/>
          <w:b w:val="0"/>
          <w:bCs w:val="0"/>
          <w:highlight w:val="none"/>
          <w:u w:val="none" w:color="auto"/>
          <w:lang w:val="en-US" w:eastAsia="zh-CN"/>
        </w:rPr>
        <w:t>全区</w:t>
      </w:r>
      <w:r>
        <w:rPr>
          <w:rFonts w:hint="default" w:ascii="Times New Roman" w:hAnsi="Times New Roman" w:cs="Times New Roman"/>
          <w:b w:val="0"/>
          <w:bCs w:val="0"/>
          <w:highlight w:val="none"/>
          <w:u w:val="none" w:color="auto"/>
          <w:lang w:val="en-US" w:eastAsia="zh-CN"/>
        </w:rPr>
        <w:t>精神科开放床位数增加至</w:t>
      </w:r>
      <w:r>
        <w:rPr>
          <w:rFonts w:hint="eastAsia" w:cs="Times New Roman"/>
          <w:b w:val="0"/>
          <w:bCs w:val="0"/>
          <w:highlight w:val="none"/>
          <w:u w:val="none" w:color="auto"/>
          <w:lang w:val="en-US" w:eastAsia="zh-CN"/>
        </w:rPr>
        <w:t>1000</w:t>
      </w:r>
      <w:r>
        <w:rPr>
          <w:rFonts w:hint="default" w:ascii="Times New Roman" w:hAnsi="Times New Roman" w:cs="Times New Roman"/>
          <w:b w:val="0"/>
          <w:bCs w:val="0"/>
          <w:highlight w:val="none"/>
          <w:u w:val="none" w:color="auto"/>
          <w:lang w:val="en-US" w:eastAsia="zh-CN"/>
        </w:rPr>
        <w:t>张，区办公立医院及基层医疗卫生机构床位数增加至</w:t>
      </w:r>
      <w:r>
        <w:rPr>
          <w:rFonts w:hint="eastAsia" w:cs="Times New Roman"/>
          <w:b w:val="0"/>
          <w:bCs w:val="0"/>
          <w:highlight w:val="none"/>
          <w:u w:val="none" w:color="auto"/>
          <w:lang w:val="en-US" w:eastAsia="zh-CN"/>
        </w:rPr>
        <w:t>3500</w:t>
      </w:r>
      <w:r>
        <w:rPr>
          <w:rFonts w:hint="default" w:ascii="Times New Roman" w:hAnsi="Times New Roman" w:cs="Times New Roman"/>
          <w:b w:val="0"/>
          <w:bCs w:val="0"/>
          <w:highlight w:val="none"/>
          <w:u w:val="none" w:color="auto"/>
          <w:lang w:val="en-US" w:eastAsia="zh-CN"/>
        </w:rPr>
        <w:t>张，每千人口药师数达</w:t>
      </w:r>
      <w:r>
        <w:rPr>
          <w:rFonts w:hint="eastAsia" w:cs="Times New Roman"/>
          <w:b w:val="0"/>
          <w:bCs w:val="0"/>
          <w:highlight w:val="none"/>
          <w:u w:val="none" w:color="auto"/>
          <w:lang w:val="en-US" w:eastAsia="zh-CN"/>
        </w:rPr>
        <w:t>0.40</w:t>
      </w:r>
      <w:r>
        <w:rPr>
          <w:rFonts w:hint="default" w:ascii="Times New Roman" w:hAnsi="Times New Roman" w:cs="Times New Roman"/>
          <w:b w:val="0"/>
          <w:bCs w:val="0"/>
          <w:highlight w:val="none"/>
          <w:u w:val="none" w:color="auto"/>
          <w:lang w:val="en-US" w:eastAsia="zh-CN"/>
        </w:rPr>
        <w:t>人，每千人口康复医师数达</w:t>
      </w:r>
      <w:r>
        <w:rPr>
          <w:rFonts w:hint="eastAsia" w:cs="Times New Roman"/>
          <w:b w:val="0"/>
          <w:bCs w:val="0"/>
          <w:highlight w:val="none"/>
          <w:u w:val="none" w:color="auto"/>
          <w:lang w:val="en-US" w:eastAsia="zh-CN"/>
        </w:rPr>
        <w:t>0.45</w:t>
      </w:r>
      <w:r>
        <w:rPr>
          <w:rFonts w:hint="default" w:ascii="Times New Roman" w:hAnsi="Times New Roman" w:cs="Times New Roman"/>
          <w:b w:val="0"/>
          <w:bCs w:val="0"/>
          <w:highlight w:val="none"/>
          <w:u w:val="none" w:color="auto"/>
          <w:lang w:val="en-US" w:eastAsia="zh-CN"/>
        </w:rPr>
        <w:t>人。</w:t>
      </w:r>
    </w:p>
    <w:p w14:paraId="7718F7E0">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default" w:ascii="Times New Roman" w:hAnsi="Times New Roman" w:eastAsia="楷体_GB2312" w:cs="Times New Roman"/>
          <w:b w:val="0"/>
          <w:bCs w:val="0"/>
          <w:highlight w:val="none"/>
          <w:u w:val="none" w:color="auto"/>
          <w:lang w:val="en-US" w:eastAsia="zh-CN"/>
        </w:rPr>
      </w:pPr>
      <w:r>
        <w:rPr>
          <w:rFonts w:hint="default" w:ascii="Times New Roman" w:hAnsi="Times New Roman" w:eastAsia="楷体_GB2312" w:cs="Times New Roman"/>
          <w:b w:val="0"/>
          <w:bCs w:val="0"/>
          <w:highlight w:val="none"/>
          <w:u w:val="none" w:color="auto"/>
          <w:lang w:val="en-US" w:eastAsia="zh-CN"/>
        </w:rPr>
        <w:t>（二）扩容基层医疗服务网络。</w:t>
      </w:r>
    </w:p>
    <w:p w14:paraId="6CF207F0">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default" w:ascii="Times New Roman" w:hAnsi="Times New Roman" w:cs="Times New Roman"/>
          <w:color w:val="000000" w:themeColor="text1"/>
          <w:highlight w:val="none"/>
          <w:u w:val="none" w:color="auto"/>
          <w:lang w:val="en-US" w:eastAsia="zh-CN"/>
          <w14:textFill>
            <w14:solidFill>
              <w14:schemeClr w14:val="tx1"/>
            </w14:solidFill>
          </w14:textFill>
        </w:rPr>
      </w:pPr>
      <w:r>
        <w:rPr>
          <w:rFonts w:hint="default" w:ascii="Times New Roman" w:hAnsi="Times New Roman" w:cs="Times New Roman"/>
          <w:color w:val="000000" w:themeColor="text1"/>
          <w:highlight w:val="none"/>
          <w:u w:val="none" w:color="auto"/>
          <w:lang w:val="en-US" w:eastAsia="zh-CN"/>
          <w14:textFill>
            <w14:solidFill>
              <w14:schemeClr w14:val="tx1"/>
            </w14:solidFill>
          </w14:textFill>
        </w:rPr>
        <w:t>鼓励新建社区卫生服务中心、镇卫生院按社区医院标准建设。按每3万—10万</w:t>
      </w:r>
      <w:bookmarkStart w:id="42" w:name="_GoBack"/>
      <w:bookmarkEnd w:id="42"/>
      <w:r>
        <w:rPr>
          <w:rFonts w:hint="default" w:ascii="Times New Roman" w:hAnsi="Times New Roman" w:cs="Times New Roman"/>
          <w:color w:val="000000" w:themeColor="text1"/>
          <w:highlight w:val="none"/>
          <w:u w:val="none" w:color="auto"/>
          <w:lang w:val="en-US" w:eastAsia="zh-CN"/>
          <w14:textFill>
            <w14:solidFill>
              <w14:schemeClr w14:val="tx1"/>
            </w14:solidFill>
          </w14:textFill>
        </w:rPr>
        <w:t>居民规划设置社区卫生服务中心，落实公建配套社区卫生服务机构与住宅项目同步规划、建设、验收、交付，产权及时移交卫生健康部门</w:t>
      </w:r>
      <w:r>
        <w:rPr>
          <w:rFonts w:hint="eastAsia" w:cs="Times New Roman"/>
          <w:color w:val="000000" w:themeColor="text1"/>
          <w:highlight w:val="none"/>
          <w:u w:val="none" w:color="auto"/>
          <w:lang w:val="en-US" w:eastAsia="zh-CN"/>
          <w14:textFill>
            <w14:solidFill>
              <w14:schemeClr w14:val="tx1"/>
            </w14:solidFill>
          </w14:textFill>
        </w:rPr>
        <w:t>，</w:t>
      </w:r>
      <w:r>
        <w:rPr>
          <w:rFonts w:hint="default" w:ascii="Times New Roman" w:hAnsi="Times New Roman" w:cs="Times New Roman"/>
          <w:color w:val="000000" w:themeColor="text1"/>
          <w:highlight w:val="none"/>
          <w:u w:val="none" w:color="auto"/>
          <w:lang w:val="en-US" w:eastAsia="zh-CN"/>
          <w14:textFill>
            <w14:solidFill>
              <w14:schemeClr w14:val="tx1"/>
            </w14:solidFill>
          </w14:textFill>
        </w:rPr>
        <w:t>服务人口3万以上的社区卫生服务中心，原则上要求建筑面积不低于5000平方米。健全“15分钟医疗服务圈”。实施花都区公共卫生体系建设项目，建立公建配套设施使用动态统筹机制，提升嵌入式便民医疗服务点建设水平。</w:t>
      </w:r>
    </w:p>
    <w:p w14:paraId="78B75507">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eastAsia="楷体_GB2312" w:cs="Times New Roman"/>
          <w:b w:val="0"/>
          <w:bCs w:val="0"/>
          <w:highlight w:val="none"/>
          <w:u w:val="none" w:color="auto"/>
          <w:lang w:val="en-US" w:eastAsia="zh-CN"/>
        </w:rPr>
      </w:pPr>
      <w:r>
        <w:rPr>
          <w:rFonts w:hint="default" w:ascii="Times New Roman" w:hAnsi="Times New Roman" w:eastAsia="楷体_GB2312" w:cs="Times New Roman"/>
          <w:b w:val="0"/>
          <w:bCs w:val="0"/>
          <w:highlight w:val="none"/>
          <w:u w:val="none" w:color="auto"/>
          <w:lang w:val="en-US" w:eastAsia="zh-CN"/>
        </w:rPr>
        <w:t>（三）支持区属医院发展建设。</w:t>
      </w:r>
    </w:p>
    <w:p w14:paraId="15D92119">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eastAsia="仿宋_GB2312" w:cs="Times New Roman"/>
          <w:highlight w:val="none"/>
          <w:u w:val="none" w:color="auto"/>
          <w:lang w:val="en-US" w:eastAsia="zh-CN"/>
        </w:rPr>
      </w:pPr>
      <w:r>
        <w:rPr>
          <w:rFonts w:hint="default" w:ascii="Times New Roman" w:hAnsi="Times New Roman" w:cs="Times New Roman"/>
          <w:color w:val="000000" w:themeColor="text1"/>
          <w:highlight w:val="none"/>
          <w:u w:val="none" w:color="auto"/>
          <w:lang w:val="en-US" w:eastAsia="zh-CN"/>
          <w14:textFill>
            <w14:solidFill>
              <w14:schemeClr w14:val="tx1"/>
            </w14:solidFill>
          </w14:textFill>
        </w:rPr>
        <w:t>落实国家、省、市关于区属公立医院的设置和功能定位要求。鼓励区属医院通过改建、扩建等模式拓展业务用房，开展康复、护理、安宁疗护、精神卫生、儿科、牙科、核医学等短缺服务。探索花都区妇幼保健院与广州市妇女儿童医疗中心花都院区深度融合发展。</w:t>
      </w:r>
      <w:r>
        <w:rPr>
          <w:rFonts w:hint="default" w:ascii="Times New Roman" w:hAnsi="Times New Roman" w:cs="Times New Roman"/>
          <w:u w:val="none" w:color="auto"/>
          <w:lang w:val="en-US" w:eastAsia="zh-CN"/>
        </w:rPr>
        <w:t>支持区属医院利用公建配套设施、租赁物业增设日间手术中心、康复护理站点。</w:t>
      </w:r>
    </w:p>
    <w:p w14:paraId="1F5755E5">
      <w:pPr>
        <w:ind w:firstLine="640" w:firstLineChars="200"/>
        <w:rPr>
          <w:rFonts w:hint="default" w:ascii="Times New Roman" w:hAnsi="Times New Roman" w:eastAsia="楷体_GB2312" w:cs="Times New Roman"/>
          <w:b w:val="0"/>
          <w:bCs w:val="0"/>
          <w:highlight w:val="none"/>
          <w:u w:val="none" w:color="auto"/>
          <w:lang w:val="en-US" w:eastAsia="zh-CN"/>
        </w:rPr>
      </w:pPr>
      <w:r>
        <w:rPr>
          <w:rFonts w:hint="default" w:ascii="Times New Roman" w:hAnsi="Times New Roman" w:eastAsia="楷体_GB2312" w:cs="Times New Roman"/>
          <w:b w:val="0"/>
          <w:bCs w:val="0"/>
          <w:highlight w:val="none"/>
          <w:u w:val="none" w:color="auto"/>
          <w:lang w:val="en-US" w:eastAsia="zh-CN"/>
        </w:rPr>
        <w:t>（四）加快集聚高水平医疗资源。</w:t>
      </w:r>
    </w:p>
    <w:p w14:paraId="0CA60462">
      <w:pPr>
        <w:ind w:firstLine="640" w:firstLineChars="200"/>
        <w:rPr>
          <w:rFonts w:hint="default" w:ascii="Times New Roman" w:hAnsi="Times New Roman" w:cs="Times New Roman"/>
          <w:b w:val="0"/>
          <w:bCs w:val="0"/>
          <w:color w:val="000000" w:themeColor="text1"/>
          <w:kern w:val="44"/>
          <w:sz w:val="32"/>
          <w:szCs w:val="32"/>
          <w:highlight w:val="none"/>
          <w:u w:val="none" w:color="auto"/>
          <w:lang w:val="en-US" w:eastAsia="zh-CN" w:bidi="ar-SA"/>
          <w14:textFill>
            <w14:solidFill>
              <w14:schemeClr w14:val="tx1"/>
            </w14:solidFill>
          </w14:textFill>
        </w:rPr>
      </w:pPr>
      <w:r>
        <w:rPr>
          <w:rFonts w:hint="default" w:ascii="Times New Roman" w:hAnsi="Times New Roman" w:eastAsia="仿宋_GB2312" w:cs="Times New Roman"/>
          <w:b w:val="0"/>
          <w:bCs w:val="0"/>
          <w:strike w:val="0"/>
          <w:color w:val="000000" w:themeColor="text1"/>
          <w:kern w:val="44"/>
          <w:sz w:val="32"/>
          <w:szCs w:val="32"/>
          <w:highlight w:val="none"/>
          <w:u w:val="none" w:color="auto"/>
          <w:lang w:val="en-US" w:eastAsia="zh-CN" w:bidi="ar-SA"/>
          <w14:textFill>
            <w14:solidFill>
              <w14:schemeClr w14:val="tx1"/>
            </w14:solidFill>
          </w14:textFill>
        </w:rPr>
        <w:t>围绕空港地区布局国际级医疗机构</w:t>
      </w:r>
      <w:r>
        <w:rPr>
          <w:rFonts w:hint="default" w:ascii="Times New Roman" w:hAnsi="Times New Roman" w:cs="Times New Roman"/>
          <w:b w:val="0"/>
          <w:bCs w:val="0"/>
          <w:strike w:val="0"/>
          <w:color w:val="000000" w:themeColor="text1"/>
          <w:kern w:val="44"/>
          <w:sz w:val="32"/>
          <w:szCs w:val="32"/>
          <w:highlight w:val="none"/>
          <w:u w:val="none" w:color="auto"/>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kern w:val="44"/>
          <w:sz w:val="32"/>
          <w:szCs w:val="32"/>
          <w:highlight w:val="none"/>
          <w:u w:val="none" w:color="auto"/>
          <w:lang w:val="en-US" w:eastAsia="zh-CN" w:bidi="ar-SA"/>
          <w14:textFill>
            <w14:solidFill>
              <w14:schemeClr w14:val="tx1"/>
            </w14:solidFill>
          </w14:textFill>
        </w:rPr>
        <w:t>强化对</w:t>
      </w:r>
      <w:r>
        <w:rPr>
          <w:rFonts w:hint="default" w:ascii="Times New Roman" w:hAnsi="Times New Roman" w:cs="Times New Roman"/>
          <w:b w:val="0"/>
          <w:bCs w:val="0"/>
          <w:color w:val="000000" w:themeColor="text1"/>
          <w:kern w:val="44"/>
          <w:sz w:val="32"/>
          <w:szCs w:val="32"/>
          <w:highlight w:val="none"/>
          <w:u w:val="none" w:color="auto"/>
          <w:lang w:val="en-US" w:eastAsia="zh-CN" w:bidi="ar-SA"/>
          <w14:textFill>
            <w14:solidFill>
              <w14:schemeClr w14:val="tx1"/>
            </w14:solidFill>
          </w14:textFill>
        </w:rPr>
        <w:t>高水平</w:t>
      </w:r>
      <w:r>
        <w:rPr>
          <w:rFonts w:hint="default" w:ascii="Times New Roman" w:hAnsi="Times New Roman" w:eastAsia="仿宋_GB2312" w:cs="Times New Roman"/>
          <w:b w:val="0"/>
          <w:bCs w:val="0"/>
          <w:color w:val="000000" w:themeColor="text1"/>
          <w:kern w:val="44"/>
          <w:sz w:val="32"/>
          <w:szCs w:val="32"/>
          <w:highlight w:val="none"/>
          <w:u w:val="none" w:color="auto"/>
          <w:lang w:val="en-US" w:eastAsia="zh-CN" w:bidi="ar-SA"/>
          <w14:textFill>
            <w14:solidFill>
              <w14:schemeClr w14:val="tx1"/>
            </w14:solidFill>
          </w14:textFill>
        </w:rPr>
        <w:t>综合医院及大型专科医院等的支撑，保障其</w:t>
      </w:r>
      <w:r>
        <w:rPr>
          <w:rFonts w:hint="default" w:ascii="Times New Roman" w:hAnsi="Times New Roman" w:cs="Times New Roman"/>
          <w:b w:val="0"/>
          <w:bCs w:val="0"/>
          <w:color w:val="000000" w:themeColor="text1"/>
          <w:kern w:val="44"/>
          <w:sz w:val="32"/>
          <w:szCs w:val="32"/>
          <w:highlight w:val="none"/>
          <w:u w:val="none" w:color="auto"/>
          <w:lang w:val="en-US" w:eastAsia="zh-CN" w:bidi="ar-SA"/>
          <w14:textFill>
            <w14:solidFill>
              <w14:schemeClr w14:val="tx1"/>
            </w14:solidFill>
          </w14:textFill>
        </w:rPr>
        <w:t>建设、扩建</w:t>
      </w:r>
      <w:r>
        <w:rPr>
          <w:rFonts w:hint="default" w:ascii="Times New Roman" w:hAnsi="Times New Roman" w:eastAsia="仿宋_GB2312" w:cs="Times New Roman"/>
          <w:b w:val="0"/>
          <w:bCs w:val="0"/>
          <w:color w:val="000000" w:themeColor="text1"/>
          <w:kern w:val="44"/>
          <w:sz w:val="32"/>
          <w:szCs w:val="32"/>
          <w:highlight w:val="none"/>
          <w:u w:val="none" w:color="auto"/>
          <w:lang w:val="en-US" w:eastAsia="zh-CN" w:bidi="ar-SA"/>
          <w14:textFill>
            <w14:solidFill>
              <w14:schemeClr w14:val="tx1"/>
            </w14:solidFill>
          </w14:textFill>
        </w:rPr>
        <w:t>的空间需求</w:t>
      </w:r>
      <w:r>
        <w:rPr>
          <w:rFonts w:hint="default" w:ascii="Times New Roman" w:hAnsi="Times New Roman" w:cs="Times New Roman"/>
          <w:b w:val="0"/>
          <w:bCs w:val="0"/>
          <w:color w:val="000000" w:themeColor="text1"/>
          <w:kern w:val="44"/>
          <w:sz w:val="32"/>
          <w:szCs w:val="32"/>
          <w:highlight w:val="none"/>
          <w:u w:val="none" w:color="auto"/>
          <w:lang w:val="en-US" w:eastAsia="zh-CN" w:bidi="ar-SA"/>
          <w14:textFill>
            <w14:solidFill>
              <w14:schemeClr w14:val="tx1"/>
            </w14:solidFill>
          </w14:textFill>
        </w:rPr>
        <w:t>。建成投用广东省中医临床研究院花都院区、广州市妇女儿童医疗中心花都院区。支持高水平医院充分发挥临床诊疗、学科建设、科研攻关、人才培育等综合优势，在花都区布局建设医教研产业融合发展平台、专科创新实验室、临床医学研究中心、生物医药产业转化基地、国际医疗部等多层次功能平台。</w:t>
      </w:r>
      <w:bookmarkStart w:id="11" w:name="_Toc14709"/>
      <w:bookmarkStart w:id="12" w:name="_Toc22800"/>
    </w:p>
    <w:p w14:paraId="01EDF38D">
      <w:pPr>
        <w:ind w:firstLine="640" w:firstLineChars="200"/>
        <w:rPr>
          <w:rFonts w:hint="default" w:ascii="Times New Roman" w:hAnsi="Times New Roman" w:eastAsia="楷体_GB2312" w:cs="Times New Roman"/>
          <w:b w:val="0"/>
          <w:bCs w:val="0"/>
          <w:color w:val="000000" w:themeColor="text1"/>
          <w:highlight w:val="none"/>
          <w:u w:val="none" w:color="auto"/>
          <w:lang w:val="en-US" w:eastAsia="zh-CN"/>
          <w14:textFill>
            <w14:solidFill>
              <w14:schemeClr w14:val="tx1"/>
            </w14:solidFill>
          </w14:textFill>
        </w:rPr>
      </w:pPr>
      <w:r>
        <w:rPr>
          <w:rFonts w:hint="default" w:ascii="Times New Roman" w:hAnsi="Times New Roman" w:eastAsia="楷体_GB2312" w:cs="Times New Roman"/>
          <w:b w:val="0"/>
          <w:bCs w:val="0"/>
          <w:color w:val="000000" w:themeColor="text1"/>
          <w:kern w:val="44"/>
          <w:sz w:val="32"/>
          <w:szCs w:val="32"/>
          <w:highlight w:val="none"/>
          <w:u w:val="none" w:color="auto"/>
          <w:lang w:val="en-US" w:eastAsia="zh-CN" w:bidi="ar-SA"/>
          <w14:textFill>
            <w14:solidFill>
              <w14:schemeClr w14:val="tx1"/>
            </w14:solidFill>
          </w14:textFill>
        </w:rPr>
        <w:t>（五）</w:t>
      </w:r>
      <w:r>
        <w:rPr>
          <w:rFonts w:hint="default" w:ascii="Times New Roman" w:hAnsi="Times New Roman" w:eastAsia="楷体_GB2312" w:cs="Times New Roman"/>
          <w:b w:val="0"/>
          <w:bCs w:val="0"/>
          <w:color w:val="000000" w:themeColor="text1"/>
          <w:highlight w:val="none"/>
          <w:u w:val="none" w:color="auto"/>
          <w:lang w:val="en-US" w:eastAsia="zh-CN"/>
          <w14:textFill>
            <w14:solidFill>
              <w14:schemeClr w14:val="tx1"/>
            </w14:solidFill>
          </w14:textFill>
        </w:rPr>
        <w:t>建强专业公共卫生机构。</w:t>
      </w:r>
    </w:p>
    <w:p w14:paraId="6E522BE1">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default" w:ascii="Times New Roman" w:hAnsi="Times New Roman" w:cs="Times New Roman"/>
          <w:color w:val="000000" w:themeColor="text1"/>
          <w:highlight w:val="none"/>
          <w:u w:val="none" w:color="auto"/>
          <w:lang w:val="en-US" w:eastAsia="zh-CN"/>
          <w14:textFill>
            <w14:solidFill>
              <w14:schemeClr w14:val="tx1"/>
            </w14:solidFill>
          </w14:textFill>
        </w:rPr>
      </w:pPr>
      <w:r>
        <w:rPr>
          <w:rFonts w:hint="default" w:ascii="Times New Roman" w:hAnsi="Times New Roman" w:cs="Times New Roman"/>
          <w:color w:val="000000" w:themeColor="text1"/>
          <w:highlight w:val="none"/>
          <w:u w:val="none" w:color="auto"/>
          <w:lang w:val="en-US" w:eastAsia="zh-CN"/>
          <w14:textFill>
            <w14:solidFill>
              <w14:schemeClr w14:val="tx1"/>
            </w14:solidFill>
          </w14:textFill>
        </w:rPr>
        <w:t>全面提升区属专业公共卫生机构规模和服务能力，易址新建花都区疾病预防控制中心、花都区120急救医疗指挥中心、花都区血站。强化院前急救体系建设，鼓励公立医疗卫生机构利用公建配套、租用、借用物业新增急救站，提升急救网络覆盖面。</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4B91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4AD80B54">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1"/>
              <w:rPr>
                <w:rFonts w:hint="default" w:ascii="Times New Roman" w:hAnsi="Times New Roman" w:eastAsia="楷体_GB2312" w:cs="Times New Roman"/>
                <w:b w:val="0"/>
                <w:bCs w:val="0"/>
                <w:sz w:val="28"/>
                <w:szCs w:val="28"/>
                <w:highlight w:val="none"/>
                <w:u w:val="none" w:color="auto"/>
                <w:vertAlign w:val="baseline"/>
                <w:lang w:val="en-US" w:eastAsia="zh-CN"/>
              </w:rPr>
            </w:pPr>
            <w:r>
              <w:rPr>
                <w:rFonts w:hint="default" w:ascii="Times New Roman" w:hAnsi="Times New Roman" w:eastAsia="楷体_GB2312" w:cs="Times New Roman"/>
                <w:b w:val="0"/>
                <w:bCs w:val="0"/>
                <w:sz w:val="28"/>
                <w:szCs w:val="28"/>
                <w:highlight w:val="none"/>
                <w:u w:val="none" w:color="auto"/>
                <w:vertAlign w:val="baseline"/>
                <w:lang w:val="en-US" w:eastAsia="zh-CN"/>
              </w:rPr>
              <w:t>专栏2  广州市花都区“十五五”</w:t>
            </w:r>
            <w:r>
              <w:rPr>
                <w:rFonts w:hint="eastAsia" w:eastAsia="楷体_GB2312" w:cs="Times New Roman"/>
                <w:b w:val="0"/>
                <w:bCs w:val="0"/>
                <w:sz w:val="28"/>
                <w:szCs w:val="28"/>
                <w:highlight w:val="none"/>
                <w:u w:val="none" w:color="auto"/>
                <w:vertAlign w:val="baseline"/>
                <w:lang w:val="en-US" w:eastAsia="zh-CN"/>
              </w:rPr>
              <w:t>时期</w:t>
            </w:r>
            <w:r>
              <w:rPr>
                <w:rFonts w:hint="default" w:ascii="Times New Roman" w:hAnsi="Times New Roman" w:eastAsia="楷体_GB2312" w:cs="Times New Roman"/>
                <w:b w:val="0"/>
                <w:bCs w:val="0"/>
                <w:sz w:val="28"/>
                <w:szCs w:val="28"/>
                <w:highlight w:val="none"/>
                <w:u w:val="none" w:color="auto"/>
                <w:vertAlign w:val="baseline"/>
                <w:lang w:val="en-US" w:eastAsia="zh-CN"/>
              </w:rPr>
              <w:t>医疗卫生设施</w:t>
            </w:r>
            <w:r>
              <w:rPr>
                <w:rFonts w:hint="eastAsia" w:eastAsia="楷体_GB2312" w:cs="Times New Roman"/>
                <w:b w:val="0"/>
                <w:bCs w:val="0"/>
                <w:sz w:val="28"/>
                <w:szCs w:val="28"/>
                <w:highlight w:val="none"/>
                <w:u w:val="none" w:color="auto"/>
                <w:vertAlign w:val="baseline"/>
                <w:lang w:val="en-US" w:eastAsia="zh-CN"/>
              </w:rPr>
              <w:t>规划项目</w:t>
            </w:r>
          </w:p>
        </w:tc>
      </w:tr>
      <w:tr w14:paraId="0289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2DE06476">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outlineLvl w:val="1"/>
              <w:rPr>
                <w:rFonts w:hint="default" w:ascii="Times New Roman" w:hAnsi="Times New Roman" w:cs="Times New Roman"/>
                <w:b/>
                <w:bCs/>
                <w:sz w:val="28"/>
                <w:szCs w:val="28"/>
                <w:highlight w:val="none"/>
                <w:u w:val="none" w:color="auto"/>
                <w:lang w:val="en-US" w:eastAsia="zh-CN"/>
              </w:rPr>
            </w:pPr>
            <w:r>
              <w:rPr>
                <w:rFonts w:hint="default" w:ascii="Times New Roman" w:hAnsi="Times New Roman" w:eastAsia="楷体_GB2312" w:cs="Times New Roman"/>
                <w:b w:val="0"/>
                <w:bCs w:val="0"/>
                <w:sz w:val="28"/>
                <w:szCs w:val="28"/>
                <w:highlight w:val="none"/>
                <w:u w:val="none" w:color="auto"/>
                <w:vertAlign w:val="baseline"/>
                <w:lang w:val="en-US" w:eastAsia="zh-CN"/>
              </w:rPr>
              <w:t>1.</w:t>
            </w:r>
            <w:r>
              <w:rPr>
                <w:rFonts w:hint="default" w:ascii="Times New Roman" w:hAnsi="Times New Roman" w:cs="Times New Roman"/>
                <w:b/>
                <w:bCs/>
                <w:sz w:val="28"/>
                <w:szCs w:val="28"/>
                <w:highlight w:val="none"/>
                <w:u w:val="none" w:color="auto"/>
                <w:lang w:val="en-US" w:eastAsia="zh-CN"/>
              </w:rPr>
              <w:t>扩容基层医疗服务网络。</w:t>
            </w:r>
          </w:p>
          <w:p w14:paraId="3AAB3D60">
            <w:pPr>
              <w:pStyle w:val="6"/>
              <w:keepNext w:val="0"/>
              <w:keepLines w:val="0"/>
              <w:pageBreakBefore w:val="0"/>
              <w:widowControl w:val="0"/>
              <w:kinsoku/>
              <w:wordWrap/>
              <w:overflowPunct/>
              <w:topLinePunct w:val="0"/>
              <w:autoSpaceDE/>
              <w:autoSpaceDN/>
              <w:bidi w:val="0"/>
              <w:adjustRightInd/>
              <w:snapToGrid/>
              <w:spacing w:after="0" w:afterLines="0" w:line="440" w:lineRule="exact"/>
              <w:ind w:firstLine="560" w:firstLineChars="200"/>
              <w:textAlignment w:val="auto"/>
              <w:rPr>
                <w:rFonts w:hint="default" w:ascii="Times New Roman" w:hAnsi="Times New Roman" w:cs="Times New Roman"/>
                <w:sz w:val="28"/>
                <w:szCs w:val="28"/>
                <w:u w:val="none" w:color="auto"/>
                <w:lang w:val="en-US" w:eastAsia="zh-CN"/>
              </w:rPr>
            </w:pPr>
            <w:r>
              <w:rPr>
                <w:rFonts w:hint="default" w:ascii="Times New Roman" w:hAnsi="Times New Roman" w:cs="Times New Roman"/>
                <w:b w:val="0"/>
                <w:bCs w:val="0"/>
                <w:sz w:val="28"/>
                <w:szCs w:val="28"/>
                <w:highlight w:val="none"/>
                <w:u w:val="none" w:color="auto"/>
                <w:lang w:val="en-US" w:eastAsia="zh-CN"/>
              </w:rPr>
              <w:t>（1）花都区公共卫生体系建设项目（全区）：</w:t>
            </w:r>
            <w:r>
              <w:rPr>
                <w:rFonts w:hint="default" w:ascii="Times New Roman" w:hAnsi="Times New Roman" w:cs="Times New Roman"/>
                <w:sz w:val="28"/>
                <w:szCs w:val="28"/>
                <w:u w:val="none" w:color="auto"/>
                <w:lang w:val="en-US" w:eastAsia="zh-CN"/>
              </w:rPr>
              <w:t>项目涵盖14所基层医疗机构升级改造、尚品雅居公建配套医疗卫生用房、宝华路社区卫生服务中心、秀全社区卫生服务中心、白云机场三期公建配套卫生用房等多个配套卫生用房装修建设和社区卫生服务站、村卫生站建设改造项目等多个子项目。</w:t>
            </w:r>
          </w:p>
          <w:p w14:paraId="4237593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u w:val="none" w:color="auto"/>
                <w:lang w:val="en-US" w:eastAsia="zh-CN"/>
              </w:rPr>
            </w:pPr>
            <w:r>
              <w:rPr>
                <w:rFonts w:hint="default" w:ascii="Times New Roman" w:hAnsi="Times New Roman" w:cs="Times New Roman"/>
                <w:sz w:val="28"/>
                <w:szCs w:val="28"/>
                <w:u w:val="none" w:color="auto"/>
                <w:lang w:val="en-US" w:eastAsia="zh-CN"/>
              </w:rPr>
              <w:t>（2）公建配套服务设施盘活利用工程（全区）：本规划期限内，允许公立医疗机构按照规划功能，将现存或在本规划期限内完成规划、建设、验收、交付过程任一环节的公建配套设施投入使用。</w:t>
            </w:r>
          </w:p>
          <w:p w14:paraId="3DF0C60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u w:val="none" w:color="auto"/>
                <w:lang w:val="en-US" w:eastAsia="zh-CN"/>
              </w:rPr>
            </w:pPr>
            <w:r>
              <w:rPr>
                <w:rFonts w:hint="default" w:ascii="Times New Roman" w:hAnsi="Times New Roman" w:cs="Times New Roman"/>
                <w:sz w:val="28"/>
                <w:szCs w:val="28"/>
                <w:u w:val="none" w:color="auto"/>
                <w:lang w:val="en-US" w:eastAsia="zh-CN"/>
              </w:rPr>
              <w:t>（3）嵌入式便民医疗服务点建设水平提升工程（全区）：本规划期限内，允许公立医疗机构与工业园区、企业、学校、村（居）委合作，以租赁、借用等形式开设门诊部、诊所</w:t>
            </w:r>
            <w:r>
              <w:rPr>
                <w:rFonts w:hint="eastAsia" w:cs="Times New Roman"/>
                <w:sz w:val="28"/>
                <w:szCs w:val="28"/>
                <w:u w:val="none" w:color="auto"/>
                <w:lang w:val="en-US" w:eastAsia="zh-CN"/>
              </w:rPr>
              <w:t>、延伸医疗点</w:t>
            </w:r>
            <w:r>
              <w:rPr>
                <w:rFonts w:hint="default" w:ascii="Times New Roman" w:hAnsi="Times New Roman" w:cs="Times New Roman"/>
                <w:sz w:val="28"/>
                <w:szCs w:val="28"/>
                <w:u w:val="none" w:color="auto"/>
                <w:lang w:val="en-US" w:eastAsia="zh-CN"/>
              </w:rPr>
              <w:t>等便民医疗服务机构。包含花都区人民医院极兔产业园</w:t>
            </w:r>
            <w:r>
              <w:rPr>
                <w:rFonts w:hint="eastAsia" w:cs="Times New Roman"/>
                <w:sz w:val="28"/>
                <w:szCs w:val="28"/>
                <w:u w:val="none" w:color="auto"/>
                <w:lang w:val="en-US" w:eastAsia="zh-CN"/>
              </w:rPr>
              <w:t>医疗延伸点（花东镇）</w:t>
            </w:r>
            <w:r>
              <w:rPr>
                <w:rFonts w:hint="default" w:ascii="Times New Roman" w:hAnsi="Times New Roman" w:cs="Times New Roman"/>
                <w:sz w:val="28"/>
                <w:szCs w:val="28"/>
                <w:u w:val="none" w:color="auto"/>
                <w:lang w:val="en-US" w:eastAsia="zh-CN"/>
              </w:rPr>
              <w:t>、梯面镇</w:t>
            </w:r>
            <w:r>
              <w:rPr>
                <w:rFonts w:hint="eastAsia" w:cs="Times New Roman"/>
                <w:sz w:val="28"/>
                <w:szCs w:val="28"/>
                <w:u w:val="none" w:color="auto"/>
                <w:lang w:val="en-US" w:eastAsia="zh-CN"/>
              </w:rPr>
              <w:t>卫生院</w:t>
            </w:r>
            <w:r>
              <w:rPr>
                <w:rFonts w:hint="default" w:ascii="Times New Roman" w:hAnsi="Times New Roman" w:cs="Times New Roman"/>
                <w:sz w:val="28"/>
                <w:szCs w:val="28"/>
                <w:u w:val="none" w:color="auto"/>
                <w:lang w:val="en-US" w:eastAsia="zh-CN"/>
              </w:rPr>
              <w:t>第二门诊部（梯面镇）。</w:t>
            </w:r>
          </w:p>
          <w:p w14:paraId="45F84504">
            <w:pPr>
              <w:keepNext w:val="0"/>
              <w:keepLines w:val="0"/>
              <w:pageBreakBefore w:val="0"/>
              <w:widowControl w:val="0"/>
              <w:kinsoku/>
              <w:wordWrap/>
              <w:overflowPunct/>
              <w:topLinePunct w:val="0"/>
              <w:autoSpaceDE/>
              <w:autoSpaceDN/>
              <w:bidi w:val="0"/>
              <w:adjustRightInd/>
              <w:snapToGrid/>
              <w:spacing w:line="440" w:lineRule="exact"/>
              <w:ind w:firstLine="562" w:firstLineChars="200"/>
              <w:jc w:val="both"/>
              <w:textAlignment w:val="auto"/>
              <w:outlineLvl w:val="1"/>
              <w:rPr>
                <w:rFonts w:hint="default" w:ascii="Times New Roman" w:hAnsi="Times New Roman" w:cs="Times New Roman"/>
                <w:b/>
                <w:bCs/>
                <w:sz w:val="28"/>
                <w:szCs w:val="28"/>
                <w:highlight w:val="none"/>
                <w:u w:val="none" w:color="auto"/>
                <w:lang w:val="en-US" w:eastAsia="zh-CN"/>
              </w:rPr>
            </w:pPr>
            <w:r>
              <w:rPr>
                <w:rFonts w:hint="default" w:ascii="Times New Roman" w:hAnsi="Times New Roman" w:cs="Times New Roman"/>
                <w:b/>
                <w:bCs/>
                <w:sz w:val="28"/>
                <w:szCs w:val="28"/>
                <w:highlight w:val="none"/>
                <w:u w:val="none" w:color="auto"/>
                <w:lang w:val="en-US" w:eastAsia="zh-CN"/>
              </w:rPr>
              <w:t>2.支持区属医院发展建设。</w:t>
            </w:r>
          </w:p>
          <w:p w14:paraId="187EAFFC">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outlineLvl w:val="1"/>
              <w:rPr>
                <w:rFonts w:hint="default" w:ascii="Times New Roman" w:hAnsi="Times New Roman" w:cs="Times New Roman"/>
                <w:b w:val="0"/>
                <w:bCs w:val="0"/>
                <w:sz w:val="28"/>
                <w:szCs w:val="28"/>
                <w:highlight w:val="none"/>
                <w:u w:val="none" w:color="auto"/>
                <w:lang w:val="en-US" w:eastAsia="zh-CN"/>
              </w:rPr>
            </w:pPr>
            <w:r>
              <w:rPr>
                <w:rFonts w:hint="default" w:ascii="Times New Roman" w:hAnsi="Times New Roman" w:cs="Times New Roman"/>
                <w:b w:val="0"/>
                <w:bCs w:val="0"/>
                <w:sz w:val="28"/>
                <w:szCs w:val="28"/>
                <w:highlight w:val="none"/>
                <w:u w:val="none" w:color="auto"/>
                <w:lang w:val="en-US" w:eastAsia="zh-CN"/>
              </w:rPr>
              <w:t>（1）区属公立医院新建项目：花都区人民医院新院项目（花城街道）、花都区第二人民医院新院项目（狮岭镇）。</w:t>
            </w:r>
          </w:p>
          <w:p w14:paraId="2B59DFE5">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outlineLvl w:val="1"/>
              <w:rPr>
                <w:rFonts w:hint="default" w:ascii="Times New Roman" w:hAnsi="Times New Roman" w:cs="Times New Roman"/>
                <w:b w:val="0"/>
                <w:bCs w:val="0"/>
                <w:sz w:val="28"/>
                <w:szCs w:val="28"/>
                <w:highlight w:val="none"/>
                <w:u w:val="none" w:color="auto"/>
                <w:lang w:val="en-US" w:eastAsia="zh-CN"/>
              </w:rPr>
            </w:pPr>
            <w:r>
              <w:rPr>
                <w:rFonts w:hint="default" w:ascii="Times New Roman" w:hAnsi="Times New Roman" w:cs="Times New Roman"/>
                <w:b w:val="0"/>
                <w:bCs w:val="0"/>
                <w:sz w:val="28"/>
                <w:szCs w:val="28"/>
                <w:highlight w:val="none"/>
                <w:u w:val="none" w:color="auto"/>
                <w:lang w:val="en-US" w:eastAsia="zh-CN"/>
              </w:rPr>
              <w:t>（2）区属公立医院改扩建项目：花都区人民医院改扩建项目（新华街道</w:t>
            </w:r>
            <w:r>
              <w:rPr>
                <w:rFonts w:hint="eastAsia" w:cs="Times New Roman"/>
                <w:b w:val="0"/>
                <w:bCs w:val="0"/>
                <w:sz w:val="28"/>
                <w:szCs w:val="28"/>
                <w:highlight w:val="none"/>
                <w:u w:val="none" w:color="auto"/>
                <w:lang w:val="en-US" w:eastAsia="zh-CN"/>
              </w:rPr>
              <w:t>，包含口腔科、核医学科业务用房</w:t>
            </w:r>
            <w:r>
              <w:rPr>
                <w:rFonts w:hint="default" w:ascii="Times New Roman" w:hAnsi="Times New Roman" w:cs="Times New Roman"/>
                <w:b w:val="0"/>
                <w:bCs w:val="0"/>
                <w:sz w:val="28"/>
                <w:szCs w:val="28"/>
                <w:highlight w:val="none"/>
                <w:u w:val="none" w:color="auto"/>
                <w:lang w:val="en-US" w:eastAsia="zh-CN"/>
              </w:rPr>
              <w:t>）、广州市中西医</w:t>
            </w:r>
            <w:r>
              <w:rPr>
                <w:rFonts w:hint="eastAsia" w:cs="Times New Roman"/>
                <w:b w:val="0"/>
                <w:bCs w:val="0"/>
                <w:sz w:val="28"/>
                <w:szCs w:val="28"/>
                <w:highlight w:val="none"/>
                <w:u w:val="none" w:color="auto"/>
                <w:lang w:val="en-US" w:eastAsia="zh-CN"/>
              </w:rPr>
              <w:t>结合</w:t>
            </w:r>
            <w:r>
              <w:rPr>
                <w:rFonts w:hint="default" w:ascii="Times New Roman" w:hAnsi="Times New Roman" w:cs="Times New Roman"/>
                <w:b w:val="0"/>
                <w:bCs w:val="0"/>
                <w:sz w:val="28"/>
                <w:szCs w:val="28"/>
                <w:highlight w:val="none"/>
                <w:u w:val="none" w:color="auto"/>
                <w:lang w:val="en-US" w:eastAsia="zh-CN"/>
              </w:rPr>
              <w:t>医院改扩建项目（花城街道</w:t>
            </w:r>
            <w:r>
              <w:rPr>
                <w:rFonts w:hint="eastAsia" w:cs="Times New Roman"/>
                <w:b w:val="0"/>
                <w:bCs w:val="0"/>
                <w:sz w:val="28"/>
                <w:szCs w:val="28"/>
                <w:highlight w:val="none"/>
                <w:u w:val="none" w:color="auto"/>
                <w:lang w:val="en-US" w:eastAsia="zh-CN"/>
              </w:rPr>
              <w:t>，包含口腔中心、医美中心</w:t>
            </w:r>
            <w:r>
              <w:rPr>
                <w:rFonts w:hint="default" w:ascii="Times New Roman" w:hAnsi="Times New Roman" w:cs="Times New Roman"/>
                <w:b w:val="0"/>
                <w:bCs w:val="0"/>
                <w:sz w:val="28"/>
                <w:szCs w:val="28"/>
                <w:highlight w:val="none"/>
                <w:u w:val="none" w:color="auto"/>
                <w:lang w:val="en-US" w:eastAsia="zh-CN"/>
              </w:rPr>
              <w:t>）。</w:t>
            </w:r>
          </w:p>
          <w:p w14:paraId="7740C68B">
            <w:pPr>
              <w:keepNext w:val="0"/>
              <w:keepLines w:val="0"/>
              <w:pageBreakBefore w:val="0"/>
              <w:widowControl w:val="0"/>
              <w:kinsoku/>
              <w:wordWrap/>
              <w:overflowPunct/>
              <w:topLinePunct w:val="0"/>
              <w:autoSpaceDE/>
              <w:autoSpaceDN/>
              <w:bidi w:val="0"/>
              <w:adjustRightInd/>
              <w:snapToGrid/>
              <w:spacing w:line="440" w:lineRule="exact"/>
              <w:ind w:firstLine="562" w:firstLineChars="200"/>
              <w:jc w:val="both"/>
              <w:textAlignment w:val="auto"/>
              <w:outlineLvl w:val="1"/>
              <w:rPr>
                <w:rFonts w:hint="default" w:ascii="Times New Roman" w:hAnsi="Times New Roman" w:cs="Times New Roman"/>
                <w:b/>
                <w:bCs/>
                <w:sz w:val="28"/>
                <w:szCs w:val="28"/>
                <w:highlight w:val="none"/>
                <w:u w:val="none" w:color="auto"/>
                <w:lang w:val="en-US" w:eastAsia="zh-CN"/>
              </w:rPr>
            </w:pPr>
            <w:r>
              <w:rPr>
                <w:rFonts w:hint="default" w:ascii="Times New Roman" w:hAnsi="Times New Roman" w:cs="Times New Roman"/>
                <w:b/>
                <w:bCs/>
                <w:sz w:val="28"/>
                <w:szCs w:val="28"/>
                <w:highlight w:val="none"/>
                <w:u w:val="none" w:color="auto"/>
                <w:lang w:val="en-US" w:eastAsia="zh-CN"/>
              </w:rPr>
              <w:t>3.加快集聚高水平医疗资源。</w:t>
            </w:r>
          </w:p>
          <w:p w14:paraId="06920E89">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outlineLvl w:val="1"/>
              <w:rPr>
                <w:rFonts w:hint="default" w:ascii="Times New Roman" w:hAnsi="Times New Roman" w:cs="Times New Roman"/>
                <w:b w:val="0"/>
                <w:bCs w:val="0"/>
                <w:sz w:val="28"/>
                <w:szCs w:val="28"/>
                <w:highlight w:val="none"/>
                <w:u w:val="none" w:color="auto"/>
                <w:lang w:val="en-US" w:eastAsia="zh-CN"/>
              </w:rPr>
            </w:pPr>
            <w:r>
              <w:rPr>
                <w:rFonts w:hint="default" w:ascii="Times New Roman" w:hAnsi="Times New Roman" w:cs="Times New Roman"/>
                <w:b w:val="0"/>
                <w:bCs w:val="0"/>
                <w:sz w:val="28"/>
                <w:szCs w:val="28"/>
                <w:highlight w:val="none"/>
                <w:u w:val="none" w:color="auto"/>
                <w:lang w:val="en-US" w:eastAsia="zh-CN"/>
              </w:rPr>
              <w:t>支持中山大学孙逸仙纪念医院花都院区国际医疗部（新雅街道）、广东省中医临床研究院花都院区（花山镇）、广州市妇女儿童医疗中心花都院区建设（花城街道）建设。</w:t>
            </w:r>
          </w:p>
          <w:p w14:paraId="2F67FD8E">
            <w:pPr>
              <w:keepNext w:val="0"/>
              <w:keepLines w:val="0"/>
              <w:pageBreakBefore w:val="0"/>
              <w:widowControl w:val="0"/>
              <w:kinsoku/>
              <w:wordWrap/>
              <w:overflowPunct/>
              <w:topLinePunct w:val="0"/>
              <w:autoSpaceDE/>
              <w:autoSpaceDN/>
              <w:bidi w:val="0"/>
              <w:adjustRightInd/>
              <w:snapToGrid/>
              <w:spacing w:line="440" w:lineRule="exact"/>
              <w:ind w:firstLine="562" w:firstLineChars="200"/>
              <w:jc w:val="both"/>
              <w:textAlignment w:val="auto"/>
              <w:outlineLvl w:val="1"/>
              <w:rPr>
                <w:rFonts w:hint="default" w:ascii="Times New Roman" w:hAnsi="Times New Roman" w:cs="Times New Roman"/>
                <w:b/>
                <w:bCs/>
                <w:sz w:val="28"/>
                <w:szCs w:val="28"/>
                <w:highlight w:val="none"/>
                <w:u w:val="none" w:color="auto"/>
                <w:lang w:val="en-US" w:eastAsia="zh-CN"/>
              </w:rPr>
            </w:pPr>
            <w:r>
              <w:rPr>
                <w:rFonts w:hint="default" w:ascii="Times New Roman" w:hAnsi="Times New Roman" w:cs="Times New Roman"/>
                <w:b/>
                <w:bCs/>
                <w:sz w:val="28"/>
                <w:szCs w:val="28"/>
                <w:highlight w:val="none"/>
                <w:u w:val="none" w:color="auto"/>
                <w:lang w:val="en-US" w:eastAsia="zh-CN"/>
              </w:rPr>
              <w:t>4.建强专业公共卫生机构。</w:t>
            </w:r>
          </w:p>
          <w:p w14:paraId="434E2D7D">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outlineLvl w:val="1"/>
              <w:rPr>
                <w:rFonts w:hint="default" w:ascii="Times New Roman" w:hAnsi="Times New Roman" w:cs="Times New Roman"/>
                <w:b w:val="0"/>
                <w:bCs w:val="0"/>
                <w:sz w:val="28"/>
                <w:szCs w:val="28"/>
                <w:highlight w:val="none"/>
                <w:u w:val="none" w:color="auto"/>
                <w:lang w:val="en-US" w:eastAsia="zh-CN"/>
              </w:rPr>
            </w:pPr>
            <w:r>
              <w:rPr>
                <w:rFonts w:hint="default" w:ascii="Times New Roman" w:hAnsi="Times New Roman" w:cs="Times New Roman"/>
                <w:b w:val="0"/>
                <w:bCs w:val="0"/>
                <w:sz w:val="28"/>
                <w:szCs w:val="28"/>
                <w:highlight w:val="none"/>
                <w:u w:val="none" w:color="auto"/>
                <w:lang w:val="en-US" w:eastAsia="zh-CN"/>
              </w:rPr>
              <w:t>（1）专业公共卫生机构易址新建：易址新建花都区疾病预防控制中心（花山镇）、花都区120急救医疗指挥中心（秀全街道）、花都区血站（花山镇）。</w:t>
            </w:r>
          </w:p>
          <w:p w14:paraId="61FF36D6">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outlineLvl w:val="1"/>
              <w:rPr>
                <w:rFonts w:hint="default" w:ascii="Times New Roman" w:hAnsi="Times New Roman" w:cs="Times New Roman"/>
                <w:b/>
                <w:bCs/>
                <w:sz w:val="28"/>
                <w:szCs w:val="28"/>
                <w:highlight w:val="none"/>
                <w:u w:val="none" w:color="auto"/>
                <w:lang w:val="en-US" w:eastAsia="zh-CN"/>
              </w:rPr>
            </w:pPr>
            <w:r>
              <w:rPr>
                <w:rFonts w:hint="default" w:ascii="Times New Roman" w:hAnsi="Times New Roman" w:cs="Times New Roman"/>
                <w:b w:val="0"/>
                <w:bCs w:val="0"/>
                <w:sz w:val="28"/>
                <w:szCs w:val="28"/>
                <w:highlight w:val="none"/>
                <w:u w:val="none" w:color="auto"/>
                <w:lang w:val="en-US" w:eastAsia="zh-CN"/>
              </w:rPr>
              <w:t>（2）急救网络提升工程：本规划期限内，鼓励区级公立医疗机构利用公建配套设施、租赁、借用物业建设院前急救点、急救站。包含广州市中西医结合医院院前急救站建设（秀全街道）。</w:t>
            </w:r>
          </w:p>
        </w:tc>
      </w:tr>
      <w:bookmarkEnd w:id="11"/>
      <w:bookmarkEnd w:id="12"/>
    </w:tbl>
    <w:p w14:paraId="5941DF70">
      <w:pPr>
        <w:pStyle w:val="10"/>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cs="Times New Roman"/>
          <w:highlight w:val="none"/>
          <w:u w:val="none" w:color="auto"/>
          <w:lang w:val="en-US" w:eastAsia="zh-CN"/>
        </w:rPr>
      </w:pPr>
      <w:bookmarkStart w:id="13" w:name="_Toc4784"/>
      <w:bookmarkStart w:id="14" w:name="_Toc14827"/>
      <w:bookmarkStart w:id="15" w:name="_Toc3814"/>
      <w:bookmarkStart w:id="16" w:name="_Toc24810"/>
      <w:r>
        <w:rPr>
          <w:rFonts w:hint="default" w:ascii="Times New Roman" w:hAnsi="Times New Roman" w:cs="Times New Roman"/>
          <w:highlight w:val="none"/>
          <w:u w:val="none" w:color="auto"/>
          <w:lang w:val="en-US" w:eastAsia="zh-CN"/>
        </w:rPr>
        <w:t>三、持续筑牢高水平卫生健康安全屏障</w:t>
      </w:r>
    </w:p>
    <w:bookmarkEnd w:id="13"/>
    <w:bookmarkEnd w:id="14"/>
    <w:bookmarkEnd w:id="15"/>
    <w:bookmarkEnd w:id="16"/>
    <w:p w14:paraId="49F12C67">
      <w:pPr>
        <w:pStyle w:val="10"/>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楷体_GB2312" w:cs="Times New Roman"/>
          <w:highlight w:val="none"/>
          <w:u w:val="none" w:color="auto"/>
          <w:lang w:val="en-US" w:eastAsia="zh-CN"/>
        </w:rPr>
      </w:pPr>
      <w:r>
        <w:rPr>
          <w:rFonts w:hint="default" w:ascii="Times New Roman" w:hAnsi="Times New Roman" w:eastAsia="楷体_GB2312" w:cs="Times New Roman"/>
          <w:highlight w:val="none"/>
          <w:u w:val="none" w:color="auto"/>
          <w:lang w:val="en-US" w:eastAsia="zh-CN"/>
        </w:rPr>
        <w:t>（一）健全公共卫生组织体系。</w:t>
      </w:r>
    </w:p>
    <w:p w14:paraId="720CDF56">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cs="Times New Roman"/>
          <w:highlight w:val="none"/>
          <w:u w:val="none" w:color="auto"/>
          <w:lang w:val="en-US" w:eastAsia="zh-CN"/>
        </w:rPr>
      </w:pPr>
      <w:r>
        <w:rPr>
          <w:rFonts w:hint="default" w:ascii="Times New Roman" w:hAnsi="Times New Roman" w:cs="Times New Roman"/>
          <w:highlight w:val="none"/>
          <w:u w:val="none" w:color="auto"/>
          <w:lang w:val="en-US" w:eastAsia="zh-CN"/>
        </w:rPr>
        <w:t>落实“市规划、区组织、镇（街）实施、村（社区）落实”的四级公共卫生治理格局。持续推进公共卫生委员会建设，统筹组织推动爱国卫生、传染病防控、健康广州行动、健康城镇等重点工作。推动公共卫生与基层党建工作结合，纳入各级党组织的重要工作范畴。健全常态化和应急管理衔接的基层卫生治理长效运行机制。</w:t>
      </w:r>
    </w:p>
    <w:p w14:paraId="1390D718">
      <w:pPr>
        <w:ind w:firstLine="640" w:firstLineChars="200"/>
        <w:rPr>
          <w:rFonts w:hint="default" w:ascii="Times New Roman" w:hAnsi="Times New Roman" w:eastAsia="楷体_GB2312" w:cs="Times New Roman"/>
          <w:u w:val="none" w:color="auto"/>
          <w:lang w:val="en-US" w:eastAsia="zh-CN"/>
        </w:rPr>
      </w:pPr>
      <w:r>
        <w:rPr>
          <w:rFonts w:hint="default" w:ascii="Times New Roman" w:hAnsi="Times New Roman" w:eastAsia="楷体_GB2312" w:cs="Times New Roman"/>
          <w:u w:val="none" w:color="auto"/>
          <w:lang w:val="en-US" w:eastAsia="zh-CN"/>
        </w:rPr>
        <w:t>（二）补强疾病预防控制体系。</w:t>
      </w:r>
    </w:p>
    <w:p w14:paraId="5F4F8964">
      <w:pPr>
        <w:ind w:firstLine="640" w:firstLineChars="200"/>
        <w:rPr>
          <w:rFonts w:hint="default" w:ascii="Times New Roman" w:hAnsi="Times New Roman" w:cs="Times New Roman"/>
          <w:highlight w:val="none"/>
          <w:u w:val="none" w:color="auto"/>
          <w:lang w:val="en-US" w:eastAsia="zh-CN"/>
        </w:rPr>
      </w:pPr>
      <w:r>
        <w:rPr>
          <w:rFonts w:hint="default" w:ascii="Times New Roman" w:hAnsi="Times New Roman" w:cs="Times New Roman"/>
          <w:highlight w:val="none"/>
          <w:u w:val="none" w:color="auto"/>
          <w:lang w:val="en-US" w:eastAsia="zh-CN"/>
        </w:rPr>
        <w:t>打造境外入境新发传染病致病病原微生物检测平台，加强新型病原体传播预防和应对能力。深化社会共治、医防协同、医防融合，健全社区疾控片区责任制，落实医疗机构公共卫生责任清单。推动医疗机构和疾控机构人才流动、交叉培训、服务融合和信息共享。全面推进实验室标准化建设，打造市区一体化的实验室质量管理体系。</w:t>
      </w:r>
    </w:p>
    <w:p w14:paraId="17BBE65C">
      <w:pPr>
        <w:ind w:firstLine="640" w:firstLineChars="200"/>
        <w:rPr>
          <w:rFonts w:hint="default" w:ascii="Times New Roman" w:hAnsi="Times New Roman" w:eastAsia="楷体_GB2312" w:cs="Times New Roman"/>
          <w:highlight w:val="none"/>
          <w:u w:val="none" w:color="auto"/>
          <w:lang w:val="en-US" w:eastAsia="zh-CN"/>
        </w:rPr>
      </w:pPr>
      <w:r>
        <w:rPr>
          <w:rFonts w:hint="default" w:ascii="Times New Roman" w:hAnsi="Times New Roman" w:eastAsia="楷体_GB2312" w:cs="Times New Roman"/>
          <w:highlight w:val="none"/>
          <w:u w:val="none" w:color="auto"/>
          <w:lang w:val="en-US" w:eastAsia="zh-CN"/>
        </w:rPr>
        <w:t>（三）深化卫生应急管理体系。</w:t>
      </w:r>
    </w:p>
    <w:p w14:paraId="3E38F1D2">
      <w:pPr>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Fonts w:hint="default" w:ascii="Times New Roman" w:hAnsi="Times New Roman" w:eastAsia="仿宋_GB2312" w:cs="Times New Roman"/>
          <w:highlight w:val="none"/>
          <w:u w:val="none" w:color="auto"/>
          <w:lang w:val="en-US" w:eastAsia="zh-CN"/>
        </w:rPr>
      </w:pPr>
      <w:r>
        <w:rPr>
          <w:rFonts w:hint="default" w:ascii="Times New Roman" w:hAnsi="Times New Roman" w:eastAsia="仿宋_GB2312" w:cs="Times New Roman"/>
          <w:highlight w:val="none"/>
          <w:u w:val="none" w:color="auto"/>
          <w:lang w:val="en-US" w:eastAsia="zh-CN"/>
        </w:rPr>
        <w:t>推动全区</w:t>
      </w:r>
      <w:r>
        <w:rPr>
          <w:rFonts w:hint="default" w:ascii="Times New Roman" w:hAnsi="Times New Roman" w:cs="Times New Roman"/>
          <w:highlight w:val="none"/>
          <w:u w:val="none" w:color="auto"/>
          <w:lang w:val="en-US" w:eastAsia="zh-CN"/>
        </w:rPr>
        <w:t>各级医疗机构部署应用传染病预警监测前置软件。</w:t>
      </w:r>
      <w:r>
        <w:rPr>
          <w:rFonts w:hint="default"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健全政府主导、多部门协作、全社会参与的传染病</w:t>
      </w:r>
      <w:r>
        <w:rPr>
          <w:rFonts w:hint="default" w:ascii="Times New Roman" w:hAnsi="Times New Roman" w:cs="Times New Roman"/>
          <w:color w:val="000000" w:themeColor="text1"/>
          <w:kern w:val="2"/>
          <w:sz w:val="32"/>
          <w:szCs w:val="32"/>
          <w:highlight w:val="none"/>
          <w:u w:val="none" w:color="auto"/>
          <w:lang w:val="en-US" w:eastAsia="zh-CN" w:bidi="ar-SA"/>
          <w14:textFill>
            <w14:solidFill>
              <w14:schemeClr w14:val="tx1"/>
            </w14:solidFill>
          </w14:textFill>
        </w:rPr>
        <w:t>联防联控</w:t>
      </w:r>
      <w:r>
        <w:rPr>
          <w:rFonts w:hint="default"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机制。完善污水监测网络</w:t>
      </w:r>
      <w:r>
        <w:rPr>
          <w:rFonts w:hint="default" w:ascii="Times New Roman" w:hAnsi="Times New Roman" w:cs="Times New Roman"/>
          <w:color w:val="000000" w:themeColor="text1"/>
          <w:kern w:val="2"/>
          <w:sz w:val="32"/>
          <w:szCs w:val="32"/>
          <w:highlight w:val="none"/>
          <w:u w:val="none" w:color="auto"/>
          <w:lang w:val="en-US" w:eastAsia="zh-CN" w:bidi="ar-SA"/>
          <w14:textFill>
            <w14:solidFill>
              <w14:schemeClr w14:val="tx1"/>
            </w14:solidFill>
          </w14:textFill>
        </w:rPr>
        <w:t>、蚊媒监测网络、鼠媒防控设施建设，</w:t>
      </w:r>
      <w:r>
        <w:rPr>
          <w:rFonts w:hint="default" w:ascii="Times New Roman" w:hAnsi="Times New Roman" w:eastAsia="仿宋_GB2312" w:cs="Times New Roman"/>
          <w:color w:val="000000" w:themeColor="text1"/>
          <w:sz w:val="32"/>
          <w:szCs w:val="32"/>
          <w:highlight w:val="none"/>
          <w:u w:val="none" w:color="auto"/>
          <w14:textFill>
            <w14:solidFill>
              <w14:schemeClr w14:val="tx1"/>
            </w14:solidFill>
          </w14:textFill>
        </w:rPr>
        <w:t>建立蚊虫孳生地长效清理与动态销号机制</w:t>
      </w:r>
      <w:r>
        <w:rPr>
          <w:rFonts w:hint="default"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。做好流感、新冠、诺如、手足口病等常见急性传染病防控。巩固寄生虫病防治成效，维持疟疾和血吸虫病消除状态。持续巩固艾滋病、结核病、肝炎等防控成效。</w:t>
      </w:r>
      <w:r>
        <w:rPr>
          <w:rFonts w:hint="default" w:ascii="Times New Roman" w:hAnsi="Times New Roman" w:cs="Times New Roman"/>
          <w:color w:val="000000" w:themeColor="text1"/>
          <w:kern w:val="2"/>
          <w:sz w:val="32"/>
          <w:szCs w:val="32"/>
          <w:highlight w:val="none"/>
          <w:u w:val="none" w:color="auto"/>
          <w:lang w:val="en-US" w:eastAsia="zh-CN" w:bidi="ar-SA"/>
          <w14:textFill>
            <w14:solidFill>
              <w14:schemeClr w14:val="tx1"/>
            </w14:solidFill>
          </w14:textFill>
        </w:rPr>
        <w:t>常态化开展爱国卫生统一行动</w:t>
      </w:r>
      <w:r>
        <w:rPr>
          <w:rFonts w:hint="default" w:ascii="Times New Roman" w:hAnsi="Times New Roman" w:cs="Times New Roman"/>
          <w:color w:val="000000" w:themeColor="text1"/>
          <w:sz w:val="32"/>
          <w:szCs w:val="32"/>
          <w:highlight w:val="none"/>
          <w:u w:val="none" w:color="auto"/>
          <w:lang w:eastAsia="zh-CN"/>
          <w14:textFill>
            <w14:solidFill>
              <w14:schemeClr w14:val="tx1"/>
            </w14:solidFill>
          </w14:textFill>
        </w:rPr>
        <w:t>。</w:t>
      </w:r>
      <w:r>
        <w:rPr>
          <w:rFonts w:hint="default" w:ascii="Times New Roman" w:hAnsi="Times New Roman" w:cs="Times New Roman"/>
          <w:highlight w:val="none"/>
          <w:u w:val="none" w:color="auto"/>
          <w:lang w:val="en-US" w:eastAsia="zh-CN"/>
        </w:rPr>
        <w:t>推进区级应急队伍规范化建设，常态化开展专业培训和实战化演练，完善跨部门、跨区域应急预案。</w:t>
      </w:r>
    </w:p>
    <w:p w14:paraId="3B84EF6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highlight w:val="none"/>
          <w:u w:val="none" w:color="auto"/>
          <w:lang w:val="en-US" w:eastAsia="zh-CN"/>
        </w:rPr>
      </w:pPr>
      <w:bookmarkStart w:id="17" w:name="_Toc1625"/>
      <w:r>
        <w:rPr>
          <w:rFonts w:hint="default" w:ascii="Times New Roman" w:hAnsi="Times New Roman" w:eastAsia="楷体_GB2312" w:cs="Times New Roman"/>
          <w:highlight w:val="none"/>
          <w:u w:val="none" w:color="auto"/>
          <w:lang w:val="en-US" w:eastAsia="zh-CN"/>
        </w:rPr>
        <w:t>（四）</w:t>
      </w:r>
      <w:bookmarkEnd w:id="17"/>
      <w:r>
        <w:rPr>
          <w:rFonts w:hint="default" w:ascii="Times New Roman" w:hAnsi="Times New Roman" w:eastAsia="楷体_GB2312" w:cs="Times New Roman"/>
          <w:highlight w:val="none"/>
          <w:u w:val="none" w:color="auto"/>
          <w:lang w:val="en-US" w:eastAsia="zh-CN"/>
        </w:rPr>
        <w:t>加强健康促进与教育。</w:t>
      </w:r>
    </w:p>
    <w:p w14:paraId="6577D904">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cs="Times New Roman"/>
          <w:highlight w:val="none"/>
          <w:u w:val="none" w:color="auto"/>
          <w:lang w:val="en-US" w:eastAsia="zh-CN"/>
        </w:rPr>
      </w:pPr>
      <w:r>
        <w:rPr>
          <w:rFonts w:hint="default" w:ascii="Times New Roman" w:hAnsi="Times New Roman" w:cs="Times New Roman"/>
          <w:highlight w:val="none"/>
          <w:u w:val="none" w:color="auto"/>
          <w:lang w:val="en-US" w:eastAsia="zh-CN"/>
        </w:rPr>
        <w:t>优化区级健康科普传播矩阵，通过“健康花都”及其他微信公众号、知识讲座、义诊等开展科普工作。加强健康促进场所创建，广泛开展健康促进“五进”活动。深入实施合理膳食行动和“体重管理年”活动，引导全社会参与减盐、减油、减糖。持续开展无烟环境创建行动，加强戒烟门诊建设，强化公共场所控烟监督执法，加强对重点人群开展烟草危害宣传。规范开展居民健康素养监测调查，评价健康促进和健康教育工作效果。</w:t>
      </w:r>
    </w:p>
    <w:p w14:paraId="1501AFA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highlight w:val="none"/>
          <w:u w:val="none" w:color="auto"/>
          <w:lang w:val="en-US" w:eastAsia="zh-CN"/>
        </w:rPr>
      </w:pPr>
      <w:r>
        <w:rPr>
          <w:rFonts w:hint="default" w:ascii="Times New Roman" w:hAnsi="Times New Roman" w:eastAsia="楷体_GB2312" w:cs="Times New Roman"/>
          <w:highlight w:val="none"/>
          <w:u w:val="none" w:color="auto"/>
          <w:lang w:val="en-US" w:eastAsia="zh-CN"/>
        </w:rPr>
        <w:t>（五）健全急救救援网络体系。</w:t>
      </w:r>
    </w:p>
    <w:p w14:paraId="2CEA49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highlight w:val="none"/>
          <w:u w:val="none" w:color="auto"/>
          <w:vertAlign w:val="baseline"/>
          <w:lang w:val="en-US" w:eastAsia="zh-CN"/>
        </w:rPr>
      </w:pPr>
      <w:r>
        <w:rPr>
          <w:rFonts w:hint="default" w:ascii="Times New Roman" w:hAnsi="Times New Roman" w:cs="Times New Roman"/>
          <w:highlight w:val="none"/>
          <w:u w:val="none" w:color="auto"/>
          <w:lang w:val="en-US" w:eastAsia="zh-CN"/>
        </w:rPr>
        <w:t>强化区、镇、村三级急救网络建设。完善院前急救标准、畅通院前急救院内就诊通道，建设区域危急重症一体化协同救治平台。开展社会急救医疗知识与技能普及培训。持续开展“黑救护车”整治，规范转运市场秩序。力争按照每3万人配置1辆救护车标准，补齐救护车配备。推动AED覆盖交通枢纽、学校、大型商超等公共场所。探索无人机急救应用场景。强化血液保障能力，加强无偿献血宣传科普，完善献血激励机制，科学设置血站和采血点，提升千人口献血率。</w:t>
      </w:r>
    </w:p>
    <w:p w14:paraId="66A86AE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highlight w:val="none"/>
          <w:u w:val="none" w:color="auto"/>
          <w:lang w:val="en-US" w:eastAsia="zh-CN"/>
        </w:rPr>
      </w:pPr>
      <w:r>
        <w:rPr>
          <w:rFonts w:hint="default" w:ascii="Times New Roman" w:hAnsi="Times New Roman" w:eastAsia="黑体" w:cs="Times New Roman"/>
          <w:highlight w:val="none"/>
          <w:u w:val="none" w:color="auto"/>
          <w:lang w:val="en-US" w:eastAsia="zh-CN"/>
        </w:rPr>
        <w:t>四、优化全人群全方位全周期的健康服务</w:t>
      </w:r>
    </w:p>
    <w:p w14:paraId="54BE14BC">
      <w:pPr>
        <w:pStyle w:val="3"/>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cs="Times New Roman"/>
          <w:highlight w:val="none"/>
          <w:u w:val="none" w:color="auto"/>
          <w:lang w:val="en-US" w:eastAsia="zh-CN"/>
        </w:rPr>
      </w:pPr>
      <w:r>
        <w:rPr>
          <w:rFonts w:hint="default" w:ascii="Times New Roman" w:hAnsi="Times New Roman" w:cs="Times New Roman"/>
          <w:highlight w:val="none"/>
          <w:u w:val="none" w:color="auto"/>
          <w:lang w:val="en-US" w:eastAsia="zh-CN"/>
        </w:rPr>
        <w:t>（一）优化生育支持政策和激励措施</w:t>
      </w:r>
      <w:r>
        <w:rPr>
          <w:rFonts w:hint="eastAsia" w:ascii="Times New Roman" w:hAnsi="Times New Roman" w:cs="Times New Roman"/>
          <w:highlight w:val="none"/>
          <w:u w:val="none" w:color="auto"/>
          <w:lang w:val="en-US" w:eastAsia="zh-CN"/>
        </w:rPr>
        <w:t>。</w:t>
      </w:r>
    </w:p>
    <w:p w14:paraId="21495004">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cs="Times New Roman"/>
          <w:highlight w:val="none"/>
          <w:u w:val="none" w:color="auto"/>
          <w:lang w:val="en-US" w:eastAsia="zh-CN"/>
        </w:rPr>
      </w:pPr>
      <w:bookmarkStart w:id="18" w:name="_Toc8688"/>
      <w:r>
        <w:rPr>
          <w:rFonts w:hint="default" w:ascii="Times New Roman" w:hAnsi="Times New Roman" w:cs="Times New Roman"/>
          <w:highlight w:val="none"/>
          <w:u w:val="none" w:color="auto"/>
          <w:lang w:val="en-US" w:eastAsia="zh-CN"/>
        </w:rPr>
        <w:t>落实《广州市人口与计划生育服务规定》《广州市优化生育政策促进人口长期均衡发展若干措施》《广州市贯彻落实广东省育儿补贴制度实施方案的具体措施》。营造全社会尊重生育、支持生育的良好氛围，推动建设生育友好型社会。增强生育保障功能，完善生育休假政策，配合广州市探索建立“政府、企业、个人”合理的成本共担机制，落实生育津贴直接发放给个人，鼓励用人单位为孕期和哺乳期妇女提供灵活的工作方式及必要的便利条件。</w:t>
      </w:r>
      <w:bookmarkEnd w:id="18"/>
      <w:r>
        <w:rPr>
          <w:rFonts w:hint="default" w:ascii="Times New Roman" w:hAnsi="Times New Roman" w:cs="Times New Roman"/>
          <w:highlight w:val="none"/>
          <w:u w:val="none" w:color="auto"/>
          <w:lang w:val="en-US" w:eastAsia="zh-CN"/>
        </w:rPr>
        <w:t>加强人口监测和研究，推进计划生育特殊家庭联系人制度、就医绿色通道、家庭医生签约全覆盖。</w:t>
      </w:r>
    </w:p>
    <w:p w14:paraId="7AB3E149">
      <w:pPr>
        <w:pStyle w:val="3"/>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cs="Times New Roman"/>
          <w:highlight w:val="none"/>
          <w:u w:val="none" w:color="auto"/>
          <w:lang w:val="en-US" w:eastAsia="zh-CN"/>
        </w:rPr>
      </w:pPr>
      <w:r>
        <w:rPr>
          <w:rFonts w:hint="default" w:ascii="Times New Roman" w:hAnsi="Times New Roman" w:cs="Times New Roman"/>
          <w:u w:val="none" w:color="auto"/>
          <w:lang w:val="en-US" w:eastAsia="zh-CN"/>
        </w:rPr>
        <w:t>（二）</w:t>
      </w:r>
      <w:r>
        <w:rPr>
          <w:rFonts w:hint="default" w:ascii="Times New Roman" w:hAnsi="Times New Roman" w:cs="Times New Roman"/>
          <w:highlight w:val="none"/>
          <w:u w:val="none" w:color="auto"/>
          <w:lang w:val="en-US" w:eastAsia="zh-CN"/>
        </w:rPr>
        <w:t>发展普惠托育服务</w:t>
      </w:r>
      <w:r>
        <w:rPr>
          <w:rFonts w:hint="eastAsia" w:ascii="Times New Roman" w:hAnsi="Times New Roman" w:cs="Times New Roman"/>
          <w:highlight w:val="none"/>
          <w:u w:val="none" w:color="auto"/>
          <w:lang w:val="en-US" w:eastAsia="zh-CN"/>
        </w:rPr>
        <w:t>。</w:t>
      </w:r>
    </w:p>
    <w:p w14:paraId="274CC5F4">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cs="Times New Roman"/>
          <w:b w:val="0"/>
          <w:bCs w:val="0"/>
          <w:highlight w:val="none"/>
          <w:u w:val="none" w:color="auto"/>
          <w:lang w:val="en-US" w:eastAsia="zh-CN"/>
        </w:rPr>
      </w:pPr>
      <w:bookmarkStart w:id="19" w:name="_Toc1945"/>
      <w:r>
        <w:rPr>
          <w:rFonts w:hint="default" w:ascii="Times New Roman" w:hAnsi="Times New Roman" w:cs="Times New Roman"/>
          <w:b w:val="0"/>
          <w:bCs w:val="0"/>
          <w:highlight w:val="none"/>
          <w:u w:val="none" w:color="auto"/>
          <w:lang w:val="en-US" w:eastAsia="zh-CN"/>
        </w:rPr>
        <w:t>打造“2+10+10+N”的托育综合服务网络，</w:t>
      </w:r>
      <w:r>
        <w:rPr>
          <w:rFonts w:hint="eastAsia" w:cs="Times New Roman"/>
          <w:b w:val="0"/>
          <w:bCs w:val="0"/>
          <w:highlight w:val="none"/>
          <w:u w:val="none" w:color="auto"/>
          <w:lang w:val="en-US" w:eastAsia="zh-CN"/>
        </w:rPr>
        <w:t>开展</w:t>
      </w:r>
      <w:r>
        <w:rPr>
          <w:rFonts w:hint="default" w:ascii="Times New Roman" w:hAnsi="Times New Roman" w:cs="Times New Roman"/>
          <w:b w:val="0"/>
          <w:bCs w:val="0"/>
          <w:highlight w:val="none"/>
          <w:u w:val="none" w:color="auto"/>
          <w:lang w:val="en-US" w:eastAsia="zh-CN"/>
        </w:rPr>
        <w:t>普惠托育服务提质</w:t>
      </w:r>
      <w:r>
        <w:rPr>
          <w:rFonts w:hint="eastAsia" w:cs="Times New Roman"/>
          <w:b w:val="0"/>
          <w:bCs w:val="0"/>
          <w:highlight w:val="none"/>
          <w:u w:val="none" w:color="auto"/>
          <w:lang w:val="en-US" w:eastAsia="zh-CN"/>
        </w:rPr>
        <w:t>行动</w:t>
      </w:r>
      <w:r>
        <w:rPr>
          <w:rFonts w:hint="default" w:ascii="Times New Roman" w:hAnsi="Times New Roman" w:cs="Times New Roman"/>
          <w:b w:val="0"/>
          <w:bCs w:val="0"/>
          <w:highlight w:val="none"/>
          <w:u w:val="none" w:color="auto"/>
          <w:lang w:val="en-US" w:eastAsia="zh-CN"/>
        </w:rPr>
        <w:t>。</w:t>
      </w:r>
      <w:r>
        <w:rPr>
          <w:rFonts w:hint="default" w:ascii="Times New Roman" w:hAnsi="Times New Roman" w:cs="Times New Roman"/>
          <w:highlight w:val="none"/>
          <w:u w:val="none" w:color="auto"/>
          <w:lang w:val="en-US" w:eastAsia="zh-CN"/>
        </w:rPr>
        <w:t>严格落实《广州市托育服务设施配套建设及管理工作指引》，</w:t>
      </w:r>
      <w:r>
        <w:rPr>
          <w:rFonts w:hint="default" w:ascii="Times New Roman" w:hAnsi="Times New Roman" w:cs="Times New Roman"/>
          <w:b w:val="0"/>
          <w:bCs w:val="0"/>
          <w:highlight w:val="none"/>
          <w:u w:val="none" w:color="auto"/>
          <w:lang w:val="en-US" w:eastAsia="zh-CN"/>
        </w:rPr>
        <w:t>居住区配套婴幼儿照护设施“同步规划建设、同步验收移交”，无偿移交属地镇（街）用于普惠托育服务。落实托育机构健康园长、托育人才岗位培训、托育机构责任保险、托育机构预付费监管、卫生保健评价指导等制度，</w:t>
      </w:r>
      <w:r>
        <w:rPr>
          <w:rFonts w:hint="eastAsia" w:cs="Times New Roman"/>
          <w:b w:val="0"/>
          <w:bCs w:val="0"/>
          <w:highlight w:val="none"/>
          <w:u w:val="none" w:color="auto"/>
          <w:lang w:val="en-US" w:eastAsia="zh-CN"/>
        </w:rPr>
        <w:t>推进</w:t>
      </w:r>
      <w:r>
        <w:rPr>
          <w:rFonts w:hint="default" w:ascii="Times New Roman" w:hAnsi="Times New Roman" w:cs="Times New Roman"/>
          <w:b w:val="0"/>
          <w:bCs w:val="0"/>
          <w:highlight w:val="none"/>
          <w:u w:val="none" w:color="auto"/>
          <w:lang w:val="en-US" w:eastAsia="zh-CN"/>
        </w:rPr>
        <w:t>托育服务从业人员</w:t>
      </w:r>
      <w:r>
        <w:rPr>
          <w:rFonts w:hint="eastAsia" w:cs="Times New Roman"/>
          <w:b w:val="0"/>
          <w:bCs w:val="0"/>
          <w:highlight w:val="none"/>
          <w:u w:val="none" w:color="auto"/>
          <w:lang w:val="en-US" w:eastAsia="zh-CN"/>
        </w:rPr>
        <w:t>全部</w:t>
      </w:r>
      <w:r>
        <w:rPr>
          <w:rFonts w:hint="default" w:ascii="Times New Roman" w:hAnsi="Times New Roman" w:cs="Times New Roman"/>
          <w:b w:val="0"/>
          <w:bCs w:val="0"/>
          <w:highlight w:val="none"/>
          <w:u w:val="none" w:color="auto"/>
          <w:lang w:val="en-US" w:eastAsia="zh-CN"/>
        </w:rPr>
        <w:t>持有初级及以上保育师职业技能等级证书。</w:t>
      </w:r>
    </w:p>
    <w:bookmarkEnd w:id="19"/>
    <w:p w14:paraId="4EDC715D">
      <w:pPr>
        <w:pStyle w:val="3"/>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cs="Times New Roman"/>
          <w:highlight w:val="none"/>
          <w:u w:val="none" w:color="auto"/>
          <w:lang w:val="en-US" w:eastAsia="zh-CN"/>
        </w:rPr>
      </w:pPr>
      <w:bookmarkStart w:id="20" w:name="_Toc3819"/>
      <w:r>
        <w:rPr>
          <w:rFonts w:hint="default" w:ascii="Times New Roman" w:hAnsi="Times New Roman" w:cs="Times New Roman"/>
          <w:highlight w:val="none"/>
          <w:u w:val="none" w:color="auto"/>
          <w:lang w:val="en-US" w:eastAsia="zh-CN"/>
        </w:rPr>
        <w:t>（三）优化妇幼和儿童青少年健康</w:t>
      </w:r>
      <w:bookmarkEnd w:id="20"/>
      <w:r>
        <w:rPr>
          <w:rFonts w:hint="default" w:ascii="Times New Roman" w:hAnsi="Times New Roman" w:cs="Times New Roman"/>
          <w:highlight w:val="none"/>
          <w:u w:val="none" w:color="auto"/>
          <w:lang w:val="en-US" w:eastAsia="zh-CN"/>
        </w:rPr>
        <w:t>。</w:t>
      </w:r>
    </w:p>
    <w:p w14:paraId="701BE7E2">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cs="Times New Roman"/>
          <w:highlight w:val="none"/>
          <w:u w:val="none" w:color="auto"/>
          <w:lang w:val="en-US" w:eastAsia="zh-CN"/>
        </w:rPr>
      </w:pPr>
      <w:bookmarkStart w:id="21" w:name="_Toc11506"/>
      <w:r>
        <w:rPr>
          <w:rFonts w:hint="default" w:ascii="Times New Roman" w:hAnsi="Times New Roman" w:cs="Times New Roman"/>
          <w:highlight w:val="none"/>
          <w:u w:val="none" w:color="auto"/>
          <w:lang w:val="en-US" w:eastAsia="zh-CN"/>
        </w:rPr>
        <w:t>完善产儿科联盟、重症孕产妇、新生儿救治联盟建设。</w:t>
      </w:r>
      <w:bookmarkEnd w:id="21"/>
      <w:bookmarkStart w:id="22" w:name="_Toc15705"/>
      <w:r>
        <w:rPr>
          <w:rFonts w:hint="default" w:ascii="Times New Roman" w:hAnsi="Times New Roman" w:cs="Times New Roman"/>
          <w:highlight w:val="none"/>
          <w:u w:val="none" w:color="auto"/>
          <w:lang w:val="en-US" w:eastAsia="zh-CN"/>
        </w:rPr>
        <w:t>积极开展女性全生命周期健康管理服务，扩大妇女“两癌”筛查项目覆盖面，全面落实HPV国家免疫规划实施。推进生育友好医院、“一站式”婚育服务中心、早孕关爱门诊建设，落实出生缺陷三级防治。完善儿童早期发展服务，推动学生常见病及健康危险因素检测与干预，实施儿童青少年“五健”促进行动，优化儿童孤独症筛查与干预工作机制。加强儿童友好医院建设，推动设置儿童心理健康门诊。</w:t>
      </w:r>
      <w:bookmarkEnd w:id="22"/>
    </w:p>
    <w:p w14:paraId="2CBE3CFD">
      <w:pPr>
        <w:pStyle w:val="3"/>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cs="Times New Roman"/>
          <w:highlight w:val="none"/>
          <w:u w:val="none" w:color="auto"/>
          <w:lang w:val="en-US" w:eastAsia="zh-CN"/>
        </w:rPr>
      </w:pPr>
      <w:bookmarkStart w:id="23" w:name="_Toc4691"/>
      <w:r>
        <w:rPr>
          <w:rFonts w:hint="default" w:ascii="Times New Roman" w:hAnsi="Times New Roman" w:cs="Times New Roman"/>
          <w:highlight w:val="none"/>
          <w:u w:val="none" w:color="auto"/>
          <w:lang w:val="en-US" w:eastAsia="zh-CN"/>
        </w:rPr>
        <w:t>（四）加强职业健康保护</w:t>
      </w:r>
      <w:bookmarkEnd w:id="23"/>
      <w:r>
        <w:rPr>
          <w:rFonts w:hint="default" w:ascii="Times New Roman" w:hAnsi="Times New Roman" w:cs="Times New Roman"/>
          <w:highlight w:val="none"/>
          <w:u w:val="none" w:color="auto"/>
          <w:lang w:val="en-US" w:eastAsia="zh-CN"/>
        </w:rPr>
        <w:t>。</w:t>
      </w:r>
    </w:p>
    <w:p w14:paraId="76E6BB35">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cs="Times New Roman"/>
          <w:highlight w:val="none"/>
          <w:u w:val="none" w:color="auto"/>
          <w:lang w:val="en-US" w:eastAsia="zh-CN"/>
        </w:rPr>
      </w:pPr>
      <w:bookmarkStart w:id="24" w:name="_Toc27804"/>
      <w:r>
        <w:rPr>
          <w:rFonts w:hint="default" w:ascii="Times New Roman" w:hAnsi="Times New Roman" w:cs="Times New Roman"/>
          <w:highlight w:val="none"/>
          <w:u w:val="none" w:color="auto"/>
          <w:lang w:val="en-US" w:eastAsia="zh-CN"/>
        </w:rPr>
        <w:t>探索“健康导师+工会协管员”结对共建模式，构建多部门职业健康齐抓共管格局。探索职业病防治全链条数字化管理，提升区级职业病监测预警能力。落实用人单位职业病防治主体责任，做好职业病危害风险分类分级监督管理，重点监管职业健康“黑名单”企业。保障中小微企业享有基本职业卫生服务。深入开展健康企业建设，推进争做“职业健康达人”活动，探索“职业健康小屋”“职业健康角”建设。</w:t>
      </w:r>
      <w:bookmarkEnd w:id="24"/>
    </w:p>
    <w:p w14:paraId="2EE820B2">
      <w:pPr>
        <w:pStyle w:val="3"/>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cs="Times New Roman"/>
          <w:highlight w:val="none"/>
          <w:u w:val="none" w:color="auto"/>
          <w:lang w:val="en-US" w:eastAsia="zh-CN"/>
        </w:rPr>
      </w:pPr>
      <w:bookmarkStart w:id="25" w:name="_Toc27357"/>
      <w:r>
        <w:rPr>
          <w:rFonts w:hint="default" w:ascii="Times New Roman" w:hAnsi="Times New Roman" w:cs="Times New Roman"/>
          <w:highlight w:val="none"/>
          <w:u w:val="none" w:color="auto"/>
          <w:lang w:val="en-US" w:eastAsia="zh-CN"/>
        </w:rPr>
        <w:t>（五）促进老龄人口健康</w:t>
      </w:r>
      <w:bookmarkEnd w:id="25"/>
      <w:r>
        <w:rPr>
          <w:rFonts w:hint="default" w:ascii="Times New Roman" w:hAnsi="Times New Roman" w:cs="Times New Roman"/>
          <w:highlight w:val="none"/>
          <w:u w:val="none" w:color="auto"/>
          <w:lang w:val="en-US" w:eastAsia="zh-CN"/>
        </w:rPr>
        <w:t>。</w:t>
      </w:r>
    </w:p>
    <w:p w14:paraId="34A67C01">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cs="Times New Roman"/>
          <w:highlight w:val="none"/>
          <w:u w:val="none" w:color="auto"/>
          <w:lang w:val="en-US" w:eastAsia="zh-CN"/>
        </w:rPr>
      </w:pPr>
      <w:bookmarkStart w:id="26" w:name="_Toc3202"/>
      <w:r>
        <w:rPr>
          <w:rFonts w:hint="default" w:ascii="Times New Roman" w:hAnsi="Times New Roman" w:cs="Times New Roman"/>
          <w:highlight w:val="none"/>
          <w:u w:val="none" w:color="auto"/>
          <w:lang w:val="en-US" w:eastAsia="zh-CN"/>
        </w:rPr>
        <w:t>着力“六位一体”老年健康服务体系建设。积极探索“两院合一”“两床合一”新型养老模式，鼓励医疗卫生与养老机构协同建设，多形式合作。持续推进“为花都区65周岁及以上户籍老年人购买医疗保险外兜底医疗”项目。探索绿色生态场所医疗康养功能，谋划储备花都区医养结合服务设施建设项目。开展</w:t>
      </w:r>
      <w:r>
        <w:rPr>
          <w:rFonts w:hint="default" w:ascii="Times New Roman" w:hAnsi="Times New Roman" w:eastAsia="仿宋_GB2312" w:cs="Times New Roman"/>
          <w:b w:val="0"/>
          <w:bCs w:val="0"/>
          <w:sz w:val="32"/>
          <w:szCs w:val="32"/>
          <w:u w:val="none" w:color="auto"/>
          <w:lang w:val="en-US" w:eastAsia="zh-CN"/>
        </w:rPr>
        <w:t>老年人脑健康试点工作</w:t>
      </w:r>
      <w:r>
        <w:rPr>
          <w:rFonts w:hint="default" w:ascii="Times New Roman" w:hAnsi="Times New Roman" w:cs="Times New Roman"/>
          <w:b w:val="0"/>
          <w:bCs w:val="0"/>
          <w:sz w:val="32"/>
          <w:szCs w:val="32"/>
          <w:u w:val="none" w:color="auto"/>
          <w:lang w:val="en-US" w:eastAsia="zh-CN"/>
        </w:rPr>
        <w:t>，</w:t>
      </w:r>
      <w:r>
        <w:rPr>
          <w:rFonts w:hint="default" w:ascii="Times New Roman" w:hAnsi="Times New Roman" w:cs="Times New Roman"/>
          <w:highlight w:val="none"/>
          <w:u w:val="none" w:color="auto"/>
          <w:lang w:val="en-US" w:eastAsia="zh-CN"/>
        </w:rPr>
        <w:t>构建老年期痴呆筛查到随访全流程服务体系。推动区域内医疗机构老年人健康体检数据互联互通。扩大安宁疗护供给能力，开展失能老年人健康服务，到2030年失能老年人健康服务率达80%。</w:t>
      </w:r>
      <w:bookmarkEnd w:id="26"/>
    </w:p>
    <w:p w14:paraId="441A070A">
      <w:pPr>
        <w:pStyle w:val="3"/>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cs="Times New Roman"/>
          <w:highlight w:val="none"/>
          <w:u w:val="none" w:color="auto"/>
          <w:lang w:val="en-US" w:eastAsia="zh-CN"/>
        </w:rPr>
      </w:pPr>
      <w:bookmarkStart w:id="27" w:name="_Toc25322"/>
      <w:r>
        <w:rPr>
          <w:rFonts w:hint="default" w:ascii="Times New Roman" w:hAnsi="Times New Roman" w:cs="Times New Roman"/>
          <w:highlight w:val="none"/>
          <w:u w:val="none" w:color="auto"/>
          <w:lang w:val="en-US" w:eastAsia="zh-CN"/>
        </w:rPr>
        <w:t>（六）保障残疾人健康服务</w:t>
      </w:r>
      <w:bookmarkEnd w:id="27"/>
      <w:r>
        <w:rPr>
          <w:rFonts w:hint="default" w:ascii="Times New Roman" w:hAnsi="Times New Roman" w:cs="Times New Roman"/>
          <w:highlight w:val="none"/>
          <w:u w:val="none" w:color="auto"/>
          <w:lang w:val="en-US" w:eastAsia="zh-CN"/>
        </w:rPr>
        <w:t>。</w:t>
      </w:r>
    </w:p>
    <w:p w14:paraId="76BFCD95">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cs="Times New Roman"/>
          <w:highlight w:val="none"/>
          <w:u w:val="none" w:color="auto"/>
          <w:lang w:val="en-US" w:eastAsia="zh-CN"/>
        </w:rPr>
      </w:pPr>
      <w:bookmarkStart w:id="28" w:name="_Toc7718"/>
      <w:r>
        <w:rPr>
          <w:rFonts w:hint="default" w:ascii="Times New Roman" w:hAnsi="Times New Roman" w:cs="Times New Roman"/>
          <w:highlight w:val="none"/>
          <w:u w:val="none" w:color="auto"/>
          <w:lang w:val="en-US" w:eastAsia="zh-CN"/>
        </w:rPr>
        <w:t>推进残疾人基本医疗保险全覆盖、医疗救助精准化，并着力完善以社区为基础、专业机构为骨干、综合医院为支撑的三级康复服务网络。强化残疾预防与筛查，提供个性化家庭医生签约服务，普及适配辅助器具服务，优化无障碍就医环境和信息交流服务，推动残疾人免费健康体检和健康档案管理全覆盖，切实保障残疾人平等获得卫生健康服务的权利。</w:t>
      </w:r>
      <w:bookmarkEnd w:id="28"/>
    </w:p>
    <w:p w14:paraId="10029B7C">
      <w:pPr>
        <w:pStyle w:val="6"/>
        <w:keepNext w:val="0"/>
        <w:keepLines w:val="0"/>
        <w:pageBreakBefore w:val="0"/>
        <w:widowControl w:val="0"/>
        <w:kinsoku/>
        <w:wordWrap/>
        <w:overflowPunct/>
        <w:topLinePunct w:val="0"/>
        <w:autoSpaceDE/>
        <w:autoSpaceDN/>
        <w:bidi w:val="0"/>
        <w:adjustRightInd/>
        <w:snapToGrid/>
        <w:spacing w:after="0" w:afterLines="0"/>
        <w:ind w:firstLine="640" w:firstLineChars="200"/>
        <w:jc w:val="both"/>
        <w:textAlignment w:val="auto"/>
        <w:rPr>
          <w:rFonts w:hint="default" w:ascii="Times New Roman" w:hAnsi="Times New Roman" w:eastAsia="楷体_GB2312" w:cs="Times New Roman"/>
          <w:highlight w:val="none"/>
          <w:u w:val="none" w:color="auto"/>
          <w:lang w:val="en-US" w:eastAsia="zh-CN"/>
        </w:rPr>
      </w:pPr>
      <w:bookmarkStart w:id="29" w:name="_Toc14323"/>
      <w:r>
        <w:rPr>
          <w:rFonts w:hint="default" w:ascii="Times New Roman" w:hAnsi="Times New Roman" w:eastAsia="楷体_GB2312" w:cs="Times New Roman"/>
          <w:highlight w:val="none"/>
          <w:u w:val="none" w:color="auto"/>
          <w:lang w:val="en-US" w:eastAsia="zh-CN"/>
        </w:rPr>
        <w:t>（七）加强康复护理服务体系建设</w:t>
      </w:r>
      <w:bookmarkEnd w:id="29"/>
      <w:r>
        <w:rPr>
          <w:rFonts w:hint="default" w:ascii="Times New Roman" w:hAnsi="Times New Roman" w:eastAsia="楷体_GB2312" w:cs="Times New Roman"/>
          <w:highlight w:val="none"/>
          <w:u w:val="none" w:color="auto"/>
          <w:lang w:val="en-US" w:eastAsia="zh-CN"/>
        </w:rPr>
        <w:t>。</w:t>
      </w:r>
    </w:p>
    <w:p w14:paraId="4F9ECB32">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eastAsia="楷体_GB2312" w:cs="Times New Roman"/>
          <w:highlight w:val="none"/>
          <w:u w:val="none" w:color="auto"/>
          <w:lang w:val="en-US" w:eastAsia="zh-CN"/>
        </w:rPr>
      </w:pPr>
      <w:r>
        <w:rPr>
          <w:rFonts w:hint="default" w:ascii="Times New Roman" w:hAnsi="Times New Roman" w:cs="Times New Roman"/>
          <w:highlight w:val="none"/>
          <w:u w:val="none" w:color="auto"/>
          <w:lang w:val="en-US" w:eastAsia="zh-CN"/>
        </w:rPr>
        <w:t>实施康复护理扩容工程。推进“一区一特色”城市医疗集团建设及康复护理提质行动。支持社会力量举办康复机构。推进“互联网+护理服务”，为失能、高龄或行动不便的老年患者提供居家护理、家庭病床等服务。完善照护链，推进机构护理、社区护理、居家护理有机衔接。推进长期护理保险制度建设。</w:t>
      </w:r>
    </w:p>
    <w:p w14:paraId="06A165D1">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cs="Times New Roman"/>
          <w:highlight w:val="none"/>
          <w:u w:val="none" w:color="auto"/>
          <w:lang w:val="en-US" w:eastAsia="zh-CN"/>
        </w:rPr>
      </w:pPr>
      <w:bookmarkStart w:id="30" w:name="_Toc31418"/>
      <w:r>
        <w:rPr>
          <w:rFonts w:hint="default" w:ascii="Times New Roman" w:hAnsi="Times New Roman" w:eastAsia="楷体_GB2312" w:cs="Times New Roman"/>
          <w:highlight w:val="none"/>
          <w:u w:val="none" w:color="auto"/>
          <w:lang w:val="en-US" w:eastAsia="zh-CN"/>
        </w:rPr>
        <w:t>（八）大力推进慢性病综合防治</w:t>
      </w:r>
      <w:bookmarkEnd w:id="30"/>
      <w:r>
        <w:rPr>
          <w:rFonts w:hint="default" w:ascii="Times New Roman" w:hAnsi="Times New Roman" w:eastAsia="楷体_GB2312" w:cs="Times New Roman"/>
          <w:highlight w:val="none"/>
          <w:u w:val="none" w:color="auto"/>
          <w:lang w:val="en-US" w:eastAsia="zh-CN"/>
        </w:rPr>
        <w:t>。</w:t>
      </w:r>
    </w:p>
    <w:p w14:paraId="6DEEF1CF">
      <w:pPr>
        <w:pStyle w:val="6"/>
        <w:keepNext w:val="0"/>
        <w:keepLines w:val="0"/>
        <w:pageBreakBefore w:val="0"/>
        <w:widowControl w:val="0"/>
        <w:kinsoku/>
        <w:wordWrap/>
        <w:overflowPunct/>
        <w:topLinePunct w:val="0"/>
        <w:autoSpaceDE/>
        <w:autoSpaceDN/>
        <w:bidi w:val="0"/>
        <w:adjustRightInd/>
        <w:snapToGrid/>
        <w:spacing w:after="0" w:afterLines="0"/>
        <w:ind w:firstLine="640" w:firstLineChars="200"/>
        <w:textAlignment w:val="auto"/>
        <w:outlineLvl w:val="9"/>
        <w:rPr>
          <w:rFonts w:hint="default" w:ascii="Times New Roman" w:hAnsi="Times New Roman" w:cs="Times New Roman"/>
          <w:highlight w:val="none"/>
          <w:u w:val="none" w:color="auto"/>
          <w:lang w:val="en-US" w:eastAsia="zh-CN"/>
        </w:rPr>
      </w:pPr>
      <w:r>
        <w:rPr>
          <w:rFonts w:hint="default" w:ascii="Times New Roman" w:hAnsi="Times New Roman" w:cs="Times New Roman"/>
          <w:highlight w:val="none"/>
          <w:u w:val="none" w:color="auto"/>
          <w:lang w:val="en-US" w:eastAsia="zh-CN"/>
        </w:rPr>
        <w:t>积极创建</w:t>
      </w:r>
      <w:r>
        <w:rPr>
          <w:rFonts w:hint="eastAsia" w:cs="Times New Roman"/>
          <w:highlight w:val="none"/>
          <w:u w:val="none" w:color="auto"/>
          <w:lang w:val="en-US" w:eastAsia="zh-CN"/>
        </w:rPr>
        <w:t>国家慢性病综合防控示范区，建成“AI+慢性病”管理平台</w:t>
      </w:r>
      <w:r>
        <w:rPr>
          <w:rFonts w:hint="default" w:ascii="Times New Roman" w:hAnsi="Times New Roman" w:cs="Times New Roman"/>
          <w:highlight w:val="none"/>
          <w:u w:val="none" w:color="auto"/>
          <w:lang w:val="en-US" w:eastAsia="zh-CN"/>
        </w:rPr>
        <w:t>。提高高血压、糖尿病、慢阻肺病等慢性病规范管理覆盖面和服务水平，探索多病共管机制</w:t>
      </w:r>
      <w:r>
        <w:rPr>
          <w:rFonts w:hint="eastAsia" w:cs="Times New Roman"/>
          <w:highlight w:val="none"/>
          <w:u w:val="none" w:color="auto"/>
          <w:lang w:val="en-US" w:eastAsia="zh-CN"/>
        </w:rPr>
        <w:t>、跨区域随访机制</w:t>
      </w:r>
      <w:r>
        <w:rPr>
          <w:rFonts w:hint="default" w:ascii="Times New Roman" w:hAnsi="Times New Roman" w:cs="Times New Roman"/>
          <w:highlight w:val="none"/>
          <w:u w:val="none" w:color="auto"/>
          <w:lang w:val="en-US" w:eastAsia="zh-CN"/>
        </w:rPr>
        <w:t>，推动中医药服务融入慢性病多病共管，力争重大慢性病过早死亡率下降到13%以下。完善疾控中心与慢病防治中心“双中心”协同共管机制。持续巩固地方病防治成效，保持消除碘缺乏危害状态。推进眼健康、肺健康计划，做好近视、肥胖、脊柱弯曲异常等重点常见病综合防控工作。</w:t>
      </w:r>
    </w:p>
    <w:p w14:paraId="4EF9DD69">
      <w:pPr>
        <w:pStyle w:val="6"/>
        <w:keepNext w:val="0"/>
        <w:keepLines w:val="0"/>
        <w:pageBreakBefore w:val="0"/>
        <w:widowControl w:val="0"/>
        <w:kinsoku/>
        <w:wordWrap/>
        <w:overflowPunct/>
        <w:topLinePunct w:val="0"/>
        <w:autoSpaceDE/>
        <w:autoSpaceDN/>
        <w:bidi w:val="0"/>
        <w:adjustRightInd/>
        <w:snapToGrid/>
        <w:spacing w:after="0" w:afterLines="0"/>
        <w:ind w:firstLine="640" w:firstLineChars="200"/>
        <w:jc w:val="both"/>
        <w:textAlignment w:val="auto"/>
        <w:outlineLvl w:val="1"/>
        <w:rPr>
          <w:rFonts w:hint="default" w:ascii="Times New Roman" w:hAnsi="Times New Roman" w:eastAsia="楷体_GB2312" w:cs="Times New Roman"/>
          <w:highlight w:val="none"/>
          <w:u w:val="none" w:color="auto"/>
          <w:lang w:val="en-US" w:eastAsia="zh-CN"/>
        </w:rPr>
      </w:pPr>
      <w:bookmarkStart w:id="31" w:name="_Toc16498"/>
      <w:r>
        <w:rPr>
          <w:rFonts w:hint="default" w:ascii="Times New Roman" w:hAnsi="Times New Roman" w:eastAsia="楷体_GB2312" w:cs="Times New Roman"/>
          <w:highlight w:val="none"/>
          <w:u w:val="none" w:color="auto"/>
          <w:lang w:val="en-US" w:eastAsia="zh-CN"/>
        </w:rPr>
        <w:t>（九）加强心理和精神卫生服务网络建设</w:t>
      </w:r>
      <w:bookmarkEnd w:id="31"/>
      <w:r>
        <w:rPr>
          <w:rFonts w:hint="default" w:ascii="Times New Roman" w:hAnsi="Times New Roman" w:eastAsia="楷体_GB2312" w:cs="Times New Roman"/>
          <w:highlight w:val="none"/>
          <w:u w:val="none" w:color="auto"/>
          <w:lang w:val="en-US" w:eastAsia="zh-CN"/>
        </w:rPr>
        <w:t>。</w:t>
      </w:r>
    </w:p>
    <w:p w14:paraId="04ED4F0A">
      <w:pPr>
        <w:pStyle w:val="6"/>
        <w:keepNext w:val="0"/>
        <w:keepLines w:val="0"/>
        <w:pageBreakBefore w:val="0"/>
        <w:widowControl w:val="0"/>
        <w:kinsoku/>
        <w:wordWrap/>
        <w:overflowPunct/>
        <w:topLinePunct w:val="0"/>
        <w:autoSpaceDE/>
        <w:autoSpaceDN/>
        <w:bidi w:val="0"/>
        <w:adjustRightInd/>
        <w:snapToGrid/>
        <w:spacing w:after="0" w:afterLines="0"/>
        <w:ind w:firstLine="640" w:firstLineChars="200"/>
        <w:jc w:val="both"/>
        <w:textAlignment w:val="auto"/>
        <w:outlineLvl w:val="1"/>
        <w:rPr>
          <w:rFonts w:hint="default" w:ascii="Times New Roman" w:hAnsi="Times New Roman" w:cs="Times New Roman"/>
          <w:u w:val="none" w:color="auto"/>
          <w:lang w:val="en-US" w:eastAsia="zh-CN"/>
        </w:rPr>
      </w:pPr>
      <w:r>
        <w:rPr>
          <w:rFonts w:hint="default" w:ascii="Times New Roman" w:hAnsi="Times New Roman" w:cs="Times New Roman"/>
          <w:highlight w:val="none"/>
          <w:u w:val="none" w:color="auto"/>
          <w:lang w:val="en-US" w:eastAsia="zh-CN"/>
        </w:rPr>
        <w:t>推动全区公立医院全面提供精神心理诊疗服务，鼓励有条件的公立医院开设精神科住院病区。优化精神病人转诊和管理机制，提升基层医疗卫生机构精神病管理能力。开展心理健康知识科普、居民心理健康监测等服务，推动心理服务向基层延伸。增加精神专科人员配备，提升心理援助能力，开设区心理援助服务热线。</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7418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2D0EF104">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1"/>
              <w:rPr>
                <w:rFonts w:hint="default" w:ascii="Times New Roman" w:hAnsi="Times New Roman" w:cs="Times New Roman"/>
                <w:b w:val="0"/>
                <w:bCs w:val="0"/>
                <w:sz w:val="28"/>
                <w:szCs w:val="28"/>
                <w:highlight w:val="none"/>
                <w:u w:val="none" w:color="auto"/>
                <w:lang w:val="en-US" w:eastAsia="zh-CN"/>
              </w:rPr>
            </w:pPr>
            <w:r>
              <w:rPr>
                <w:rFonts w:hint="default" w:ascii="Times New Roman" w:hAnsi="Times New Roman" w:eastAsia="楷体_GB2312" w:cs="Times New Roman"/>
                <w:b w:val="0"/>
                <w:bCs w:val="0"/>
                <w:sz w:val="28"/>
                <w:szCs w:val="28"/>
                <w:highlight w:val="none"/>
                <w:u w:val="none" w:color="auto"/>
                <w:lang w:val="en-US" w:eastAsia="zh-CN"/>
              </w:rPr>
              <w:t>专栏3  强化重点人群健康服务体系项目</w:t>
            </w:r>
          </w:p>
        </w:tc>
      </w:tr>
      <w:tr w14:paraId="5676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7D4EE52A">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outlineLvl w:val="1"/>
              <w:rPr>
                <w:rFonts w:hint="default" w:ascii="Times New Roman" w:hAnsi="Times New Roman" w:cs="Times New Roman"/>
                <w:b w:val="0"/>
                <w:bCs w:val="0"/>
                <w:sz w:val="28"/>
                <w:szCs w:val="28"/>
                <w:highlight w:val="none"/>
                <w:u w:val="none" w:color="auto"/>
                <w:lang w:val="en-US" w:eastAsia="zh-CN"/>
              </w:rPr>
            </w:pPr>
            <w:r>
              <w:rPr>
                <w:rFonts w:hint="default" w:ascii="Times New Roman" w:hAnsi="Times New Roman" w:cs="Times New Roman"/>
                <w:b w:val="0"/>
                <w:bCs w:val="0"/>
                <w:sz w:val="28"/>
                <w:szCs w:val="28"/>
                <w:highlight w:val="none"/>
                <w:u w:val="none" w:color="auto"/>
                <w:lang w:val="en-US" w:eastAsia="zh-CN"/>
              </w:rPr>
              <w:t>1.“2+10+10+N”托育服务体系建设项目：2是指建成2家区级托育综合服务中心；第一个10是指在10个镇街全面实现“一镇街一普惠”基础上，鼓励有条件的镇街开展“一镇街多普惠”建设；第二个10是巩固提升10个用人单位办托机构的服务供给能力，鼓励有条件的机关企事业单位、医疗机构、产业</w:t>
            </w:r>
            <w:r>
              <w:rPr>
                <w:rFonts w:hint="eastAsia" w:cs="Times New Roman"/>
                <w:b w:val="0"/>
                <w:bCs w:val="0"/>
                <w:sz w:val="28"/>
                <w:szCs w:val="28"/>
                <w:highlight w:val="none"/>
                <w:u w:val="none" w:color="auto"/>
                <w:lang w:val="en-US" w:eastAsia="zh-CN"/>
              </w:rPr>
              <w:t>园区</w:t>
            </w:r>
            <w:r>
              <w:rPr>
                <w:rFonts w:hint="default" w:ascii="Times New Roman" w:hAnsi="Times New Roman" w:cs="Times New Roman"/>
                <w:b w:val="0"/>
                <w:bCs w:val="0"/>
                <w:sz w:val="28"/>
                <w:szCs w:val="28"/>
                <w:highlight w:val="none"/>
                <w:u w:val="none" w:color="auto"/>
                <w:lang w:val="en-US" w:eastAsia="zh-CN"/>
              </w:rPr>
              <w:t>提供托育服务；N是指加强嵌入式托育点、社区托育点、幼儿园办托、公建民营社区托育机构建设，提升托育服务覆盖面。</w:t>
            </w:r>
          </w:p>
          <w:p w14:paraId="7EED4F9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outlineLvl w:val="1"/>
              <w:rPr>
                <w:rFonts w:hint="default" w:ascii="Times New Roman" w:hAnsi="Times New Roman" w:cs="Times New Roman"/>
                <w:b w:val="0"/>
                <w:bCs w:val="0"/>
                <w:sz w:val="28"/>
                <w:szCs w:val="28"/>
                <w:highlight w:val="none"/>
                <w:u w:val="none" w:color="auto"/>
                <w:lang w:val="en-US" w:eastAsia="zh-CN"/>
              </w:rPr>
            </w:pPr>
            <w:r>
              <w:rPr>
                <w:rFonts w:hint="default" w:ascii="Times New Roman" w:hAnsi="Times New Roman" w:cs="Times New Roman"/>
                <w:b w:val="0"/>
                <w:bCs w:val="0"/>
                <w:sz w:val="28"/>
                <w:szCs w:val="28"/>
                <w:highlight w:val="none"/>
                <w:u w:val="none" w:color="auto"/>
                <w:lang w:val="en-US" w:eastAsia="zh-CN"/>
              </w:rPr>
              <w:t>2.普惠托育提质</w:t>
            </w:r>
            <w:r>
              <w:rPr>
                <w:rFonts w:hint="eastAsia" w:cs="Times New Roman"/>
                <w:b w:val="0"/>
                <w:bCs w:val="0"/>
                <w:sz w:val="28"/>
                <w:szCs w:val="28"/>
                <w:highlight w:val="none"/>
                <w:u w:val="none" w:color="auto"/>
                <w:lang w:val="en-US" w:eastAsia="zh-CN"/>
              </w:rPr>
              <w:t>行动</w:t>
            </w:r>
            <w:r>
              <w:rPr>
                <w:rFonts w:hint="default" w:ascii="Times New Roman" w:hAnsi="Times New Roman" w:cs="Times New Roman"/>
                <w:b w:val="0"/>
                <w:bCs w:val="0"/>
                <w:sz w:val="28"/>
                <w:szCs w:val="28"/>
                <w:highlight w:val="none"/>
                <w:u w:val="none" w:color="auto"/>
                <w:lang w:val="en-US" w:eastAsia="zh-CN"/>
              </w:rPr>
              <w:t>：到2030年，</w:t>
            </w:r>
            <w:r>
              <w:rPr>
                <w:rFonts w:hint="default" w:ascii="Times New Roman" w:hAnsi="Times New Roman" w:cs="Times New Roman"/>
                <w:b/>
                <w:bCs/>
                <w:sz w:val="28"/>
                <w:szCs w:val="28"/>
                <w:highlight w:val="none"/>
                <w:u w:val="none" w:color="auto"/>
                <w:lang w:val="en-US" w:eastAsia="zh-CN"/>
              </w:rPr>
              <w:t>一是</w:t>
            </w:r>
            <w:r>
              <w:rPr>
                <w:rFonts w:hint="default" w:ascii="Times New Roman" w:hAnsi="Times New Roman" w:cs="Times New Roman"/>
                <w:b w:val="0"/>
                <w:bCs w:val="0"/>
                <w:sz w:val="28"/>
                <w:szCs w:val="28"/>
                <w:highlight w:val="none"/>
                <w:u w:val="none" w:color="auto"/>
                <w:lang w:val="en-US" w:eastAsia="zh-CN"/>
              </w:rPr>
              <w:t>提升托育服务供给，全区3岁以下婴幼儿托位数不低于7750个。</w:t>
            </w:r>
            <w:r>
              <w:rPr>
                <w:rFonts w:hint="default" w:ascii="Times New Roman" w:hAnsi="Times New Roman" w:cs="Times New Roman"/>
                <w:b/>
                <w:bCs/>
                <w:sz w:val="28"/>
                <w:szCs w:val="28"/>
                <w:highlight w:val="none"/>
                <w:u w:val="none" w:color="auto"/>
                <w:lang w:val="en-US" w:eastAsia="zh-CN"/>
              </w:rPr>
              <w:t>二是</w:t>
            </w:r>
            <w:r>
              <w:rPr>
                <w:rFonts w:hint="default" w:ascii="Times New Roman" w:hAnsi="Times New Roman" w:cs="Times New Roman"/>
                <w:b w:val="0"/>
                <w:bCs w:val="0"/>
                <w:sz w:val="28"/>
                <w:szCs w:val="28"/>
                <w:highlight w:val="none"/>
                <w:u w:val="none" w:color="auto"/>
                <w:lang w:val="en-US" w:eastAsia="zh-CN"/>
              </w:rPr>
              <w:t>提升普惠托位占比，全区普惠托位数不少于75%。</w:t>
            </w:r>
            <w:r>
              <w:rPr>
                <w:rFonts w:hint="default" w:ascii="Times New Roman" w:hAnsi="Times New Roman" w:cs="Times New Roman"/>
                <w:b/>
                <w:bCs/>
                <w:sz w:val="28"/>
                <w:szCs w:val="28"/>
                <w:highlight w:val="none"/>
                <w:u w:val="none" w:color="auto"/>
                <w:lang w:val="en-US" w:eastAsia="zh-CN"/>
              </w:rPr>
              <w:t>三是</w:t>
            </w:r>
            <w:r>
              <w:rPr>
                <w:rFonts w:hint="default" w:ascii="Times New Roman" w:hAnsi="Times New Roman" w:cs="Times New Roman"/>
                <w:b w:val="0"/>
                <w:bCs w:val="0"/>
                <w:sz w:val="28"/>
                <w:szCs w:val="28"/>
                <w:highlight w:val="none"/>
                <w:u w:val="none" w:color="auto"/>
                <w:lang w:val="en-US" w:eastAsia="zh-CN"/>
              </w:rPr>
              <w:t>提升普惠托育服务率，全区</w:t>
            </w:r>
            <w:r>
              <w:rPr>
                <w:rFonts w:hint="eastAsia" w:cs="Times New Roman"/>
                <w:b w:val="0"/>
                <w:bCs w:val="0"/>
                <w:sz w:val="28"/>
                <w:szCs w:val="28"/>
                <w:highlight w:val="none"/>
                <w:u w:val="none" w:color="auto"/>
                <w:lang w:val="en-US" w:eastAsia="zh-CN"/>
              </w:rPr>
              <w:t>累计</w:t>
            </w:r>
            <w:r>
              <w:rPr>
                <w:rFonts w:hint="default" w:ascii="Times New Roman" w:hAnsi="Times New Roman" w:cs="Times New Roman"/>
                <w:b w:val="0"/>
                <w:bCs w:val="0"/>
                <w:sz w:val="28"/>
                <w:szCs w:val="28"/>
                <w:highlight w:val="none"/>
                <w:u w:val="none" w:color="auto"/>
                <w:lang w:val="en-US" w:eastAsia="zh-CN"/>
              </w:rPr>
              <w:t>入托率上升6个百分点。</w:t>
            </w:r>
          </w:p>
          <w:p w14:paraId="0711CABC">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outlineLvl w:val="1"/>
              <w:rPr>
                <w:rFonts w:hint="default" w:ascii="Times New Roman" w:hAnsi="Times New Roman" w:cs="Times New Roman"/>
                <w:b w:val="0"/>
                <w:bCs w:val="0"/>
                <w:sz w:val="28"/>
                <w:szCs w:val="28"/>
                <w:highlight w:val="none"/>
                <w:u w:val="none" w:color="auto"/>
                <w:lang w:val="en-US" w:eastAsia="zh-CN"/>
              </w:rPr>
            </w:pPr>
            <w:r>
              <w:rPr>
                <w:rFonts w:hint="default" w:ascii="Times New Roman" w:hAnsi="Times New Roman" w:cs="Times New Roman"/>
                <w:b w:val="0"/>
                <w:bCs w:val="0"/>
                <w:sz w:val="28"/>
                <w:szCs w:val="28"/>
                <w:highlight w:val="none"/>
                <w:u w:val="none" w:color="auto"/>
                <w:lang w:val="en-US" w:eastAsia="zh-CN"/>
              </w:rPr>
              <w:t>3.“六位一体”老年人健康服务体系建设：包括健康教育、预防保健、疾病诊治、康复护理、长期照护、安宁疗护等。</w:t>
            </w:r>
          </w:p>
          <w:p w14:paraId="114A6A3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outlineLvl w:val="1"/>
              <w:rPr>
                <w:rFonts w:hint="default" w:ascii="Times New Roman" w:hAnsi="Times New Roman" w:cs="Times New Roman"/>
                <w:b w:val="0"/>
                <w:bCs w:val="0"/>
                <w:sz w:val="28"/>
                <w:szCs w:val="28"/>
                <w:highlight w:val="none"/>
                <w:u w:val="none" w:color="auto"/>
                <w:lang w:val="en-US" w:eastAsia="zh-CN"/>
              </w:rPr>
            </w:pPr>
            <w:r>
              <w:rPr>
                <w:rFonts w:hint="default" w:ascii="Times New Roman" w:hAnsi="Times New Roman" w:cs="Times New Roman"/>
                <w:b w:val="0"/>
                <w:bCs w:val="0"/>
                <w:sz w:val="28"/>
                <w:szCs w:val="28"/>
                <w:highlight w:val="none"/>
                <w:u w:val="none" w:color="auto"/>
                <w:lang w:val="en-US" w:eastAsia="zh-CN"/>
              </w:rPr>
              <w:t>4.“为花都区65周岁及以上户籍老年人购买医疗保险外兜底医疗”项目：以政府、社会、个人三方筹资方式，按照无社保限制、无健康告知、无既往症限制、无等待期“四无原则”，为花都区户籍65周岁以上老年人购买医疗保险外兜底医疗保障险，</w:t>
            </w:r>
            <w:r>
              <w:rPr>
                <w:rFonts w:hint="eastAsia" w:cs="Times New Roman"/>
                <w:b w:val="0"/>
                <w:bCs w:val="0"/>
                <w:sz w:val="28"/>
                <w:szCs w:val="28"/>
                <w:highlight w:val="none"/>
                <w:u w:val="none" w:color="auto"/>
                <w:lang w:val="en-US" w:eastAsia="zh-CN"/>
              </w:rPr>
              <w:t>基本实现老年人口全覆盖，</w:t>
            </w:r>
            <w:r>
              <w:rPr>
                <w:rFonts w:hint="default" w:ascii="Times New Roman" w:hAnsi="Times New Roman" w:cs="Times New Roman"/>
                <w:b w:val="0"/>
                <w:bCs w:val="0"/>
                <w:sz w:val="28"/>
                <w:szCs w:val="28"/>
                <w:highlight w:val="none"/>
                <w:u w:val="none" w:color="auto"/>
                <w:lang w:val="en-US" w:eastAsia="zh-CN"/>
              </w:rPr>
              <w:t>降低老年人就医负担。</w:t>
            </w:r>
          </w:p>
          <w:p w14:paraId="5D43CE70">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outlineLvl w:val="1"/>
              <w:rPr>
                <w:rFonts w:hint="default" w:ascii="Times New Roman" w:hAnsi="Times New Roman" w:cs="Times New Roman"/>
                <w:b w:val="0"/>
                <w:bCs w:val="0"/>
                <w:sz w:val="28"/>
                <w:szCs w:val="28"/>
                <w:highlight w:val="none"/>
                <w:u w:val="none" w:color="auto"/>
                <w:lang w:val="en-US" w:eastAsia="zh-CN"/>
              </w:rPr>
            </w:pPr>
            <w:r>
              <w:rPr>
                <w:rFonts w:hint="default" w:ascii="Times New Roman" w:hAnsi="Times New Roman" w:cs="Times New Roman"/>
                <w:b w:val="0"/>
                <w:bCs w:val="0"/>
                <w:sz w:val="28"/>
                <w:szCs w:val="28"/>
                <w:highlight w:val="none"/>
                <w:u w:val="none" w:color="auto"/>
                <w:lang w:val="en-US" w:eastAsia="zh-CN"/>
              </w:rPr>
              <w:t>5.花都区医养结合服务设施建设项目：包含雅瑶社区卫生服务中心（嘉汇社区）医养结合工程项目、赤坭镇卫生院医养结合工程项目。</w:t>
            </w:r>
          </w:p>
          <w:p w14:paraId="0B849F69">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outlineLvl w:val="1"/>
              <w:rPr>
                <w:rFonts w:hint="default" w:ascii="Times New Roman" w:hAnsi="Times New Roman" w:cs="Times New Roman"/>
                <w:b w:val="0"/>
                <w:bCs w:val="0"/>
                <w:sz w:val="28"/>
                <w:szCs w:val="28"/>
                <w:highlight w:val="none"/>
                <w:u w:val="none" w:color="auto"/>
                <w:lang w:val="en-US" w:eastAsia="zh-CN"/>
              </w:rPr>
            </w:pPr>
            <w:r>
              <w:rPr>
                <w:rFonts w:hint="default" w:ascii="Times New Roman" w:hAnsi="Times New Roman" w:cs="Times New Roman"/>
                <w:b w:val="0"/>
                <w:bCs w:val="0"/>
                <w:sz w:val="28"/>
                <w:szCs w:val="28"/>
                <w:highlight w:val="none"/>
                <w:u w:val="none" w:color="auto"/>
                <w:lang w:val="en-US" w:eastAsia="zh-CN"/>
              </w:rPr>
              <w:t>6.花都区“一区一特色”城市医疗集团建设及康复护理提质行动：全区新增或转换康复护理床位（含康复床位、中医康复床位、基层医疗机构床位、安宁疗护床位等）180张左右。各医疗集团从康复护理、慢病管理、中医康复、老年照护等重点领域中，培育1</w:t>
            </w:r>
            <w:r>
              <w:rPr>
                <w:rFonts w:hint="eastAsia" w:cs="Times New Roman"/>
                <w:b w:val="0"/>
                <w:bCs w:val="0"/>
                <w:sz w:val="28"/>
                <w:szCs w:val="28"/>
                <w:highlight w:val="none"/>
                <w:u w:val="none" w:color="auto"/>
                <w:lang w:val="en-US" w:eastAsia="zh-CN"/>
              </w:rPr>
              <w:t>—</w:t>
            </w:r>
            <w:r>
              <w:rPr>
                <w:rFonts w:hint="default" w:ascii="Times New Roman" w:hAnsi="Times New Roman" w:cs="Times New Roman"/>
                <w:b w:val="0"/>
                <w:bCs w:val="0"/>
                <w:sz w:val="28"/>
                <w:szCs w:val="28"/>
                <w:highlight w:val="none"/>
                <w:u w:val="none" w:color="auto"/>
                <w:lang w:val="en-US" w:eastAsia="zh-CN"/>
              </w:rPr>
              <w:t>2个城市医疗集团特色服务品牌。</w:t>
            </w:r>
          </w:p>
        </w:tc>
      </w:tr>
    </w:tbl>
    <w:p w14:paraId="1B44C75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highlight w:val="none"/>
          <w:u w:val="none" w:color="auto"/>
          <w:lang w:val="en-US" w:eastAsia="zh-CN"/>
        </w:rPr>
      </w:pPr>
      <w:r>
        <w:rPr>
          <w:rFonts w:hint="default" w:ascii="Times New Roman" w:hAnsi="Times New Roman" w:eastAsia="黑体" w:cs="Times New Roman"/>
          <w:highlight w:val="none"/>
          <w:u w:val="none" w:color="auto"/>
          <w:lang w:val="en-US" w:eastAsia="zh-CN"/>
        </w:rPr>
        <w:t>五、促进中医药传承创新发展</w:t>
      </w:r>
    </w:p>
    <w:p w14:paraId="62E376F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highlight w:val="none"/>
          <w:u w:val="none" w:color="auto"/>
          <w:lang w:val="en-US" w:eastAsia="zh-CN"/>
        </w:rPr>
      </w:pPr>
      <w:r>
        <w:rPr>
          <w:rFonts w:hint="default" w:ascii="Times New Roman" w:hAnsi="Times New Roman" w:eastAsia="楷体_GB2312" w:cs="Times New Roman"/>
          <w:highlight w:val="none"/>
          <w:u w:val="none" w:color="auto"/>
          <w:lang w:val="en-US" w:eastAsia="zh-CN"/>
        </w:rPr>
        <w:t>（一）完善中医药服务体系</w:t>
      </w:r>
      <w:r>
        <w:rPr>
          <w:rFonts w:hint="eastAsia" w:eastAsia="楷体_GB2312" w:cs="Times New Roman"/>
          <w:highlight w:val="none"/>
          <w:u w:val="none" w:color="auto"/>
          <w:lang w:val="en-US" w:eastAsia="zh-CN"/>
        </w:rPr>
        <w:t>。</w:t>
      </w:r>
    </w:p>
    <w:p w14:paraId="52998EB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cs="Times New Roman"/>
          <w:highlight w:val="none"/>
          <w:u w:val="none" w:color="auto"/>
          <w:lang w:val="en-US" w:eastAsia="zh-CN"/>
        </w:rPr>
      </w:pPr>
      <w:r>
        <w:rPr>
          <w:rFonts w:hint="default" w:ascii="Times New Roman" w:hAnsi="Times New Roman" w:cs="Times New Roman"/>
          <w:highlight w:val="none"/>
          <w:u w:val="none" w:color="auto"/>
          <w:lang w:val="en-US" w:eastAsia="zh-CN"/>
        </w:rPr>
        <w:t>完善以广州市中西医结合医院为龙头，综合医院、妇幼机构中医科室和19家基层医疗机构为基础，社区卫生站、村卫生站为网底的三级服务体系</w:t>
      </w:r>
      <w:r>
        <w:rPr>
          <w:rFonts w:hint="default" w:ascii="Times New Roman" w:hAnsi="Times New Roman" w:eastAsia="仿宋_GB2312" w:cs="Times New Roman"/>
          <w:b w:val="0"/>
          <w:bCs w:val="0"/>
          <w:sz w:val="32"/>
          <w:szCs w:val="32"/>
          <w:u w:val="none" w:color="auto"/>
          <w:lang w:val="en-US" w:eastAsia="zh-CN"/>
        </w:rPr>
        <w:t>，</w:t>
      </w:r>
      <w:r>
        <w:rPr>
          <w:rFonts w:hint="default" w:ascii="Times New Roman" w:hAnsi="Times New Roman" w:eastAsia="仿宋_GB2312" w:cs="Times New Roman"/>
          <w:b w:val="0"/>
          <w:bCs w:val="0"/>
          <w:color w:val="000000" w:themeColor="text1"/>
          <w:sz w:val="32"/>
          <w:szCs w:val="32"/>
          <w:u w:val="none" w:color="auto"/>
          <w:lang w:val="en-US" w:eastAsia="zh-CN"/>
          <w14:textFill>
            <w14:solidFill>
              <w14:schemeClr w14:val="tx1"/>
            </w14:solidFill>
          </w14:textFill>
        </w:rPr>
        <w:t>持续推进花都区全国基层中医药工作示范区（县）工作。支持</w:t>
      </w:r>
      <w:r>
        <w:rPr>
          <w:rFonts w:hint="eastAsia" w:cs="Times New Roman"/>
          <w:b w:val="0"/>
          <w:bCs w:val="0"/>
          <w:color w:val="000000" w:themeColor="text1"/>
          <w:sz w:val="32"/>
          <w:szCs w:val="32"/>
          <w:u w:val="none" w:color="auto"/>
          <w:lang w:val="en-US" w:eastAsia="zh-CN"/>
          <w14:textFill>
            <w14:solidFill>
              <w14:schemeClr w14:val="tx1"/>
            </w14:solidFill>
          </w14:textFill>
        </w:rPr>
        <w:t>区属医院</w:t>
      </w:r>
      <w:r>
        <w:rPr>
          <w:rFonts w:hint="default" w:ascii="Times New Roman" w:hAnsi="Times New Roman" w:eastAsia="仿宋_GB2312" w:cs="Times New Roman"/>
          <w:b w:val="0"/>
          <w:bCs w:val="0"/>
          <w:color w:val="000000" w:themeColor="text1"/>
          <w:sz w:val="32"/>
          <w:szCs w:val="32"/>
          <w:u w:val="none" w:color="auto"/>
          <w:lang w:val="en-US" w:eastAsia="zh-CN"/>
          <w14:textFill>
            <w14:solidFill>
              <w14:schemeClr w14:val="tx1"/>
            </w14:solidFill>
          </w14:textFill>
        </w:rPr>
        <w:t>打造国家级、省级中医特色专科和岭南中医药特色技术传承基地，</w:t>
      </w:r>
      <w:r>
        <w:rPr>
          <w:rFonts w:hint="default" w:ascii="Times New Roman" w:hAnsi="Times New Roman" w:cs="Times New Roman"/>
          <w:b w:val="0"/>
          <w:bCs w:val="0"/>
          <w:color w:val="000000" w:themeColor="text1"/>
          <w:sz w:val="32"/>
          <w:szCs w:val="32"/>
          <w:u w:val="none" w:color="auto"/>
          <w:lang w:val="en-US" w:eastAsia="zh-CN"/>
          <w14:textFill>
            <w14:solidFill>
              <w14:schemeClr w14:val="tx1"/>
            </w14:solidFill>
          </w14:textFill>
        </w:rPr>
        <w:t>建设中西医协同“旗舰”医院或“旗舰”科室。</w:t>
      </w:r>
      <w:r>
        <w:rPr>
          <w:rFonts w:hint="eastAsia" w:cs="Times New Roman"/>
          <w:b w:val="0"/>
          <w:bCs w:val="0"/>
          <w:color w:val="000000" w:themeColor="text1"/>
          <w:sz w:val="32"/>
          <w:szCs w:val="32"/>
          <w:u w:val="none" w:color="auto"/>
          <w:lang w:val="en-US" w:eastAsia="zh-CN"/>
          <w14:textFill>
            <w14:solidFill>
              <w14:schemeClr w14:val="tx1"/>
            </w14:solidFill>
          </w14:textFill>
        </w:rPr>
        <w:t>支持广州市中西医结合医院</w:t>
      </w:r>
      <w:r>
        <w:rPr>
          <w:rFonts w:hint="default" w:ascii="Times New Roman" w:hAnsi="Times New Roman" w:cs="Times New Roman"/>
          <w:b w:val="0"/>
          <w:bCs w:val="0"/>
          <w:color w:val="000000" w:themeColor="text1"/>
          <w:sz w:val="32"/>
          <w:szCs w:val="32"/>
          <w:u w:val="none" w:color="auto"/>
          <w:lang w:val="en-US" w:eastAsia="zh-CN"/>
          <w14:textFill>
            <w14:solidFill>
              <w14:schemeClr w14:val="tx1"/>
            </w14:solidFill>
          </w14:textFill>
        </w:rPr>
        <w:t>开展“两专科一中心建设”。推动基层医疗卫生机构新建2个旗舰中医馆，全面实现基层中医药特色专科“一院一特色”建设。</w:t>
      </w:r>
    </w:p>
    <w:p w14:paraId="1BBFC40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highlight w:val="none"/>
          <w:u w:val="none" w:color="auto"/>
          <w:lang w:val="en-US" w:eastAsia="zh-CN"/>
        </w:rPr>
      </w:pPr>
      <w:r>
        <w:rPr>
          <w:rFonts w:hint="default" w:ascii="Times New Roman" w:hAnsi="Times New Roman" w:eastAsia="楷体_GB2312" w:cs="Times New Roman"/>
          <w:highlight w:val="none"/>
          <w:u w:val="none" w:color="auto"/>
          <w:lang w:val="en-US" w:eastAsia="zh-CN"/>
        </w:rPr>
        <w:t>（二）丰富中医药服务内涵</w:t>
      </w:r>
      <w:r>
        <w:rPr>
          <w:rFonts w:hint="eastAsia" w:eastAsia="楷体_GB2312" w:cs="Times New Roman"/>
          <w:highlight w:val="none"/>
          <w:u w:val="none" w:color="auto"/>
          <w:lang w:val="en-US" w:eastAsia="zh-CN"/>
        </w:rPr>
        <w:t>。</w:t>
      </w:r>
    </w:p>
    <w:p w14:paraId="018120E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cs="Times New Roman"/>
          <w:highlight w:val="none"/>
          <w:u w:val="none" w:color="auto"/>
          <w:lang w:val="en-US" w:eastAsia="zh-CN"/>
        </w:rPr>
      </w:pPr>
      <w:r>
        <w:rPr>
          <w:rFonts w:hint="default" w:ascii="Times New Roman" w:hAnsi="Times New Roman" w:cs="Times New Roman"/>
          <w:highlight w:val="none"/>
          <w:u w:val="none" w:color="auto"/>
          <w:lang w:val="en-US" w:eastAsia="zh-CN"/>
        </w:rPr>
        <w:t>实施中医药健康促进行动，规范治未病科室建设，探索将中医健康管理模式融入家庭医生签约、医养结合、社区康复和安宁疗护等服务。组建中医优势专科联盟，推广实施一批中医优势病种诊疗方案和临床路径。创新中医智能诊疗服务，培育一批中医药特色应用场景。推动中医药参与新发传染病监测与应急救治。扎实推进中医适宜技术“羊城行”行动。</w:t>
      </w:r>
      <w:r>
        <w:rPr>
          <w:rFonts w:hint="default" w:ascii="Times New Roman" w:hAnsi="Times New Roman" w:cs="Times New Roman"/>
          <w:color w:val="000000" w:themeColor="text1"/>
          <w:spacing w:val="-6"/>
          <w:kern w:val="2"/>
          <w:sz w:val="32"/>
          <w:szCs w:val="24"/>
          <w:highlight w:val="none"/>
          <w:u w:val="none" w:color="auto"/>
          <w:lang w:val="en-US" w:eastAsia="zh-CN" w:bidi="ar-SA"/>
          <w14:textFill>
            <w14:solidFill>
              <w14:schemeClr w14:val="tx1"/>
            </w14:solidFill>
          </w14:textFill>
        </w:rPr>
        <w:t>将中医药服务纳入医疗集团慢性病管理和康复护理一体化路径，打造区级中西医结合慢病管理与康复示范中心。</w:t>
      </w:r>
    </w:p>
    <w:p w14:paraId="1AE5C6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highlight w:val="none"/>
          <w:u w:val="none" w:color="auto"/>
          <w:lang w:val="en-US" w:eastAsia="zh-CN"/>
        </w:rPr>
      </w:pPr>
      <w:r>
        <w:rPr>
          <w:rFonts w:hint="default" w:ascii="Times New Roman" w:hAnsi="Times New Roman" w:eastAsia="楷体_GB2312" w:cs="Times New Roman"/>
          <w:highlight w:val="none"/>
          <w:u w:val="none" w:color="auto"/>
          <w:lang w:val="en-US" w:eastAsia="zh-CN"/>
        </w:rPr>
        <w:t>（三）推动</w:t>
      </w:r>
      <w:r>
        <w:rPr>
          <w:rFonts w:hint="eastAsia" w:eastAsia="楷体_GB2312" w:cs="Times New Roman"/>
          <w:highlight w:val="none"/>
          <w:u w:val="none" w:color="auto"/>
          <w:lang w:val="en-US" w:eastAsia="zh-CN"/>
        </w:rPr>
        <w:t>中医药传承发展。</w:t>
      </w:r>
    </w:p>
    <w:p w14:paraId="0D98E9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cs="Times New Roman"/>
          <w:highlight w:val="none"/>
          <w:u w:val="none" w:color="auto"/>
          <w:lang w:val="en-US" w:eastAsia="zh-CN"/>
        </w:rPr>
      </w:pPr>
      <w:r>
        <w:rPr>
          <w:rFonts w:hint="default" w:ascii="Times New Roman" w:hAnsi="Times New Roman" w:cs="Times New Roman"/>
          <w:highlight w:val="none"/>
          <w:u w:val="none" w:color="auto"/>
          <w:lang w:val="en-US" w:eastAsia="zh-CN"/>
        </w:rPr>
        <w:t>开展中医药传承创新发展示范项目。开展中医药文化节、膏方节、“五进”活动，打造“荟春园”中医科普基地，推进中医药文化进校园试点学校、中草药种植劳动教育实践试点学校建设。加强中医药人才队伍建设，培养高层次中医药人才，开展师承活动，大力培育基层中医药人才。加强中医药古籍、技艺的保护、传承与创新，弘扬优秀中医药文化。依托广州市中西医结合医院医疗集团。促进区域中医药产业融合发展，完善中医药文旅、康养、种植等协调发展政策。</w:t>
      </w:r>
    </w:p>
    <w:p w14:paraId="0AA6D42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highlight w:val="none"/>
          <w:u w:val="none" w:color="auto"/>
          <w:lang w:val="en-US" w:eastAsia="zh-CN"/>
        </w:rPr>
      </w:pPr>
      <w:r>
        <w:rPr>
          <w:rFonts w:hint="eastAsia" w:ascii="楷体_GB2312" w:hAnsi="楷体_GB2312" w:eastAsia="楷体_GB2312" w:cs="楷体_GB2312"/>
          <w:highlight w:val="none"/>
          <w:u w:val="none" w:color="auto"/>
          <w:lang w:val="en-US" w:eastAsia="zh-CN"/>
        </w:rPr>
        <w:t>（四）加大中医药创新支持。</w:t>
      </w:r>
    </w:p>
    <w:p w14:paraId="3D59F4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cs="Times New Roman"/>
          <w:highlight w:val="none"/>
          <w:u w:val="none" w:color="auto"/>
          <w:lang w:val="en-US" w:eastAsia="zh-CN"/>
        </w:rPr>
      </w:pPr>
      <w:r>
        <w:rPr>
          <w:rFonts w:hint="default" w:ascii="Times New Roman" w:hAnsi="Times New Roman" w:cs="Times New Roman"/>
          <w:highlight w:val="none"/>
          <w:u w:val="none" w:color="auto"/>
          <w:lang w:val="en-US" w:eastAsia="zh-CN"/>
        </w:rPr>
        <w:t>积极组织中医药科研项目申报。充分发挥广州市中西医结合医院区域中医医疗集团牵头单位优势，依托中山大学孙逸仙纪念医院花都院区、广东省中医临床研究院花都院区科研资源，推动产学研用深度融合，打造区级中医药科研转化标杆，构建中医药产业研发、孵化平台，并延伸中医制药产业和康养产业。设立中医药专项科研项目，鼓励区属医院开展中医药防治方案、院内制剂、中医适宜技术的临床研究和转化应用并在医疗集团内部推广。</w:t>
      </w:r>
      <w:r>
        <w:rPr>
          <w:rFonts w:hint="eastAsia" w:cs="Times New Roman"/>
          <w:highlight w:val="none"/>
          <w:u w:val="none" w:color="auto"/>
          <w:lang w:val="en-US" w:eastAsia="zh-CN"/>
        </w:rPr>
        <w:t>挖掘区域</w:t>
      </w:r>
      <w:r>
        <w:rPr>
          <w:rFonts w:hint="default" w:ascii="Times New Roman" w:hAnsi="Times New Roman" w:cs="Times New Roman"/>
          <w:highlight w:val="none"/>
          <w:u w:val="none" w:color="auto"/>
          <w:lang w:val="en-US" w:eastAsia="zh-CN"/>
        </w:rPr>
        <w:t>“名方名剂工程”，</w:t>
      </w:r>
      <w:r>
        <w:rPr>
          <w:rFonts w:hint="eastAsia" w:cs="Times New Roman"/>
          <w:highlight w:val="none"/>
          <w:u w:val="none" w:color="auto"/>
          <w:lang w:val="en-US" w:eastAsia="zh-CN"/>
        </w:rPr>
        <w:t>积极探索</w:t>
      </w:r>
      <w:r>
        <w:rPr>
          <w:rFonts w:hint="default" w:ascii="Times New Roman" w:hAnsi="Times New Roman" w:cs="Times New Roman"/>
          <w:highlight w:val="none"/>
          <w:u w:val="none" w:color="auto"/>
          <w:lang w:val="en-US" w:eastAsia="zh-CN"/>
        </w:rPr>
        <w:t>“名方名剂－院内制剂－中药新药”路径。</w:t>
      </w:r>
    </w:p>
    <w:p w14:paraId="2301227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highlight w:val="none"/>
          <w:u w:val="none" w:color="auto"/>
          <w:lang w:val="en-US" w:eastAsia="zh-CN"/>
        </w:rPr>
      </w:pPr>
      <w:r>
        <w:rPr>
          <w:rFonts w:hint="default" w:ascii="Times New Roman" w:hAnsi="Times New Roman" w:eastAsia="黑体" w:cs="Times New Roman"/>
          <w:highlight w:val="none"/>
          <w:u w:val="none" w:color="auto"/>
          <w:lang w:val="en-US" w:eastAsia="zh-CN"/>
        </w:rPr>
        <w:t>六、深化医药卫生体制机制改革</w:t>
      </w:r>
    </w:p>
    <w:p w14:paraId="7158508A">
      <w:pPr>
        <w:pStyle w:val="12"/>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cs="Times New Roman"/>
          <w:highlight w:val="none"/>
          <w:u w:val="none" w:color="auto"/>
          <w:lang w:val="en-US" w:eastAsia="zh-CN"/>
        </w:rPr>
      </w:pPr>
      <w:r>
        <w:rPr>
          <w:rFonts w:hint="default" w:ascii="Times New Roman" w:hAnsi="Times New Roman" w:cs="Times New Roman"/>
          <w:highlight w:val="none"/>
          <w:u w:val="none" w:color="auto"/>
          <w:lang w:val="en-US" w:eastAsia="zh-CN"/>
        </w:rPr>
        <w:t>（一）构建医改高效治理模式</w:t>
      </w:r>
      <w:r>
        <w:rPr>
          <w:rFonts w:hint="eastAsia" w:ascii="Times New Roman" w:hAnsi="Times New Roman" w:cs="Times New Roman"/>
          <w:highlight w:val="none"/>
          <w:u w:val="none" w:color="auto"/>
          <w:lang w:val="en-US" w:eastAsia="zh-CN"/>
        </w:rPr>
        <w:t>。</w:t>
      </w:r>
    </w:p>
    <w:p w14:paraId="5BCD3569">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cs="Times New Roman"/>
          <w:highlight w:val="none"/>
          <w:u w:val="none" w:color="auto"/>
          <w:lang w:val="en-US" w:eastAsia="zh-CN"/>
        </w:rPr>
      </w:pPr>
      <w:r>
        <w:rPr>
          <w:rFonts w:hint="default" w:ascii="Times New Roman" w:hAnsi="Times New Roman" w:cs="Times New Roman"/>
          <w:highlight w:val="none"/>
          <w:u w:val="none" w:color="auto"/>
          <w:lang w:val="en-US" w:eastAsia="zh-CN"/>
        </w:rPr>
        <w:t>坚持党对卫生健康工作的全面领导，健全党委领导、政府主导、部门协同、社会参与的工作机制，落实区政府主体责任。加强“三医联动”改革</w:t>
      </w:r>
      <w:r>
        <w:rPr>
          <w:rFonts w:hint="eastAsia" w:ascii="Times New Roman" w:hAnsi="Times New Roman" w:cs="Times New Roman"/>
          <w:highlight w:val="none"/>
          <w:u w:val="none" w:color="auto"/>
          <w:lang w:val="en-US" w:eastAsia="zh-CN"/>
        </w:rPr>
        <w:t>，推动医疗、医保、医药数据按需互联互通</w:t>
      </w:r>
      <w:r>
        <w:rPr>
          <w:rFonts w:hint="default" w:ascii="Times New Roman" w:hAnsi="Times New Roman" w:cs="Times New Roman"/>
          <w:highlight w:val="none"/>
          <w:u w:val="none" w:color="auto"/>
          <w:lang w:val="en-US" w:eastAsia="zh-CN"/>
        </w:rPr>
        <w:t>。稳步推进国家基本药物试点工作，落实好国家组织药品和耗材集中采购制度。</w:t>
      </w:r>
      <w:r>
        <w:rPr>
          <w:rFonts w:hint="default" w:ascii="Times New Roman" w:hAnsi="Times New Roman" w:cs="Times New Roman"/>
          <w:color w:val="000000" w:themeColor="text1"/>
          <w:sz w:val="32"/>
          <w:szCs w:val="32"/>
          <w:highlight w:val="none"/>
          <w:u w:val="none" w:color="auto"/>
          <w:lang w:val="en-US" w:eastAsia="zh-CN"/>
          <w14:textFill>
            <w14:solidFill>
              <w14:schemeClr w14:val="tx1"/>
            </w14:solidFill>
          </w14:textFill>
        </w:rPr>
        <w:t>持续深化</w:t>
      </w:r>
      <w:r>
        <w:rPr>
          <w:rFonts w:hint="eastAsia" w:ascii="Times New Roman" w:hAnsi="Times New Roman" w:cs="Times New Roman"/>
          <w:color w:val="000000" w:themeColor="text1"/>
          <w:sz w:val="32"/>
          <w:szCs w:val="32"/>
          <w:highlight w:val="none"/>
          <w:u w:val="none" w:color="auto"/>
          <w:lang w:val="en-US" w:eastAsia="zh-CN"/>
          <w14:textFill>
            <w14:solidFill>
              <w14:schemeClr w14:val="tx1"/>
            </w14:solidFill>
          </w14:textFill>
        </w:rPr>
        <w:t>城市</w:t>
      </w:r>
      <w:r>
        <w:rPr>
          <w:rFonts w:hint="default" w:ascii="Times New Roman" w:hAnsi="Times New Roman" w:cs="Times New Roman"/>
          <w:color w:val="000000" w:themeColor="text1"/>
          <w:sz w:val="32"/>
          <w:szCs w:val="32"/>
          <w:highlight w:val="none"/>
          <w:u w:val="none" w:color="auto"/>
          <w:lang w:val="en-US" w:eastAsia="zh-CN"/>
          <w14:textFill>
            <w14:solidFill>
              <w14:schemeClr w14:val="tx1"/>
            </w14:solidFill>
          </w14:textFill>
        </w:rPr>
        <w:t>医疗集团医保总额付费改革。支持商业健康保险发展。</w:t>
      </w:r>
    </w:p>
    <w:p w14:paraId="767C291D">
      <w:pPr>
        <w:pStyle w:val="12"/>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cs="Times New Roman"/>
          <w:highlight w:val="none"/>
          <w:u w:val="none" w:color="auto"/>
          <w:lang w:val="en-US" w:eastAsia="zh-CN"/>
        </w:rPr>
      </w:pPr>
      <w:r>
        <w:rPr>
          <w:rFonts w:hint="default" w:ascii="Times New Roman" w:hAnsi="Times New Roman" w:cs="Times New Roman"/>
          <w:highlight w:val="none"/>
          <w:u w:val="none" w:color="auto"/>
          <w:lang w:val="en-US" w:eastAsia="zh-CN"/>
        </w:rPr>
        <w:t>（二）加快健全分级诊疗体系</w:t>
      </w:r>
    </w:p>
    <w:p w14:paraId="2F2E885C">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cs="Times New Roman"/>
          <w:highlight w:val="none"/>
          <w:u w:val="none" w:color="auto"/>
          <w:lang w:val="en-US" w:eastAsia="zh-CN"/>
        </w:rPr>
      </w:pPr>
      <w:r>
        <w:rPr>
          <w:rFonts w:hint="default" w:ascii="Times New Roman" w:hAnsi="Times New Roman" w:cs="Times New Roman"/>
          <w:highlight w:val="none"/>
          <w:u w:val="none" w:color="auto"/>
          <w:lang w:val="en-US" w:eastAsia="zh-CN"/>
        </w:rPr>
        <w:t>强化紧密型城市医疗集团建设，推动制定统一用药目录，建设云审方中心和云药房。健全集团内部双向转诊机制，为患者提供一体化、便利化的疾病诊疗</w:t>
      </w:r>
      <w:r>
        <w:rPr>
          <w:rFonts w:hint="eastAsia" w:cs="Times New Roman"/>
          <w:highlight w:val="none"/>
          <w:u w:val="none" w:color="auto"/>
          <w:lang w:val="en-US" w:eastAsia="zh-CN"/>
        </w:rPr>
        <w:t>－</w:t>
      </w:r>
      <w:r>
        <w:rPr>
          <w:rFonts w:hint="default" w:ascii="Times New Roman" w:hAnsi="Times New Roman" w:cs="Times New Roman"/>
          <w:highlight w:val="none"/>
          <w:u w:val="none" w:color="auto"/>
          <w:lang w:val="en-US" w:eastAsia="zh-CN"/>
        </w:rPr>
        <w:t>康复</w:t>
      </w:r>
      <w:r>
        <w:rPr>
          <w:rFonts w:hint="eastAsia" w:cs="Times New Roman"/>
          <w:highlight w:val="none"/>
          <w:u w:val="none" w:color="auto"/>
          <w:lang w:val="en-US" w:eastAsia="zh-CN"/>
        </w:rPr>
        <w:t>－</w:t>
      </w:r>
      <w:r>
        <w:rPr>
          <w:rFonts w:hint="default" w:ascii="Times New Roman" w:hAnsi="Times New Roman" w:cs="Times New Roman"/>
          <w:highlight w:val="none"/>
          <w:u w:val="none" w:color="auto"/>
          <w:lang w:val="en-US" w:eastAsia="zh-CN"/>
        </w:rPr>
        <w:t>长期护理服务。强化资源</w:t>
      </w:r>
      <w:r>
        <w:rPr>
          <w:rFonts w:hint="default" w:ascii="Times New Roman" w:hAnsi="Times New Roman" w:eastAsia="仿宋_GB2312" w:cs="Times New Roman"/>
          <w:color w:val="000000" w:themeColor="text1"/>
          <w:sz w:val="32"/>
          <w:szCs w:val="32"/>
          <w:highlight w:val="none"/>
          <w:u w:val="none" w:color="auto"/>
          <w14:textFill>
            <w14:solidFill>
              <w14:schemeClr w14:val="tx1"/>
            </w14:solidFill>
          </w14:textFill>
        </w:rPr>
        <w:t>共享中心</w:t>
      </w:r>
      <w:r>
        <w:rPr>
          <w:rFonts w:hint="default" w:ascii="Times New Roman" w:hAnsi="Times New Roman" w:cs="Times New Roman"/>
          <w:color w:val="000000" w:themeColor="text1"/>
          <w:sz w:val="32"/>
          <w:szCs w:val="32"/>
          <w:highlight w:val="none"/>
          <w:u w:val="none" w:color="auto"/>
          <w:lang w:val="en-US" w:eastAsia="zh-CN"/>
          <w14:textFill>
            <w14:solidFill>
              <w14:schemeClr w14:val="tx1"/>
            </w14:solidFill>
          </w14:textFill>
        </w:rPr>
        <w:t>建设</w:t>
      </w:r>
      <w:r>
        <w:rPr>
          <w:rFonts w:hint="default" w:ascii="Times New Roman" w:hAnsi="Times New Roman" w:cs="Times New Roman"/>
          <w:highlight w:val="none"/>
          <w:u w:val="none" w:color="auto"/>
          <w:lang w:val="en-US" w:eastAsia="zh-CN"/>
        </w:rPr>
        <w:t>，推动区级检查检验结果互认</w:t>
      </w:r>
      <w:r>
        <w:rPr>
          <w:rFonts w:hint="default" w:ascii="Times New Roman" w:hAnsi="Times New Roman" w:cs="Times New Roman"/>
          <w:color w:val="000000" w:themeColor="text1"/>
          <w:sz w:val="32"/>
          <w:szCs w:val="32"/>
          <w:highlight w:val="none"/>
          <w:u w:val="none" w:color="auto"/>
          <w:lang w:val="en-US" w:eastAsia="zh-CN"/>
          <w14:textFill>
            <w14:solidFill>
              <w14:schemeClr w14:val="tx1"/>
            </w14:solidFill>
          </w14:textFill>
        </w:rPr>
        <w:t>。应用信息化技术提升基层临床诊疗、药事服务、健康管理及医保风控水平。推进联合病房、名医工作室和帮扶副院长等工作，</w:t>
      </w:r>
      <w:r>
        <w:rPr>
          <w:rFonts w:hint="default" w:ascii="Times New Roman" w:hAnsi="Times New Roman" w:cs="Times New Roman"/>
          <w:highlight w:val="none"/>
          <w:u w:val="none" w:color="auto"/>
          <w:lang w:val="en-US" w:eastAsia="zh-CN"/>
        </w:rPr>
        <w:t>引导符合条件的二级及以上医疗机构医师参与家庭医生签约服务</w:t>
      </w:r>
      <w:r>
        <w:rPr>
          <w:rFonts w:hint="default" w:ascii="Times New Roman" w:hAnsi="Times New Roman" w:cs="Times New Roman"/>
          <w:color w:val="000000" w:themeColor="text1"/>
          <w:sz w:val="32"/>
          <w:szCs w:val="32"/>
          <w:highlight w:val="none"/>
          <w:u w:val="none" w:color="auto"/>
          <w:lang w:val="en-US" w:eastAsia="zh-CN"/>
          <w14:textFill>
            <w14:solidFill>
              <w14:schemeClr w14:val="tx1"/>
            </w14:solidFill>
          </w14:textFill>
        </w:rPr>
        <w:t>。健全医疗集团绩效考核和考核评价应用体系。</w:t>
      </w:r>
      <w:r>
        <w:rPr>
          <w:rFonts w:hint="default" w:ascii="Times New Roman" w:hAnsi="Times New Roman" w:cs="Times New Roman"/>
          <w:highlight w:val="none"/>
          <w:u w:val="none" w:color="auto"/>
          <w:lang w:val="en-US" w:eastAsia="zh-CN"/>
        </w:rPr>
        <w:t>支持花都区人民医院对口帮扶花都区第二人民医院。</w:t>
      </w:r>
    </w:p>
    <w:p w14:paraId="04239456">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楷体_GB2312" w:hAnsi="楷体_GB2312" w:eastAsia="楷体_GB2312" w:cs="楷体_GB2312"/>
          <w:highlight w:val="none"/>
          <w:u w:val="none" w:color="auto"/>
          <w:lang w:val="en-US" w:eastAsia="zh-CN"/>
        </w:rPr>
      </w:pPr>
      <w:bookmarkStart w:id="32" w:name="_Toc6742"/>
      <w:r>
        <w:rPr>
          <w:rFonts w:hint="eastAsia" w:ascii="楷体_GB2312" w:hAnsi="楷体_GB2312" w:eastAsia="楷体_GB2312" w:cs="楷体_GB2312"/>
          <w:highlight w:val="none"/>
          <w:u w:val="none" w:color="auto"/>
          <w:lang w:val="en-US" w:eastAsia="zh-CN"/>
        </w:rPr>
        <w:t>（三）推动区级医院高质量发展</w:t>
      </w:r>
      <w:bookmarkEnd w:id="32"/>
    </w:p>
    <w:p w14:paraId="04ACEC7F">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cs="Times New Roman"/>
          <w:highlight w:val="none"/>
          <w:u w:val="none" w:color="auto"/>
          <w:lang w:val="en-US" w:eastAsia="zh-CN"/>
        </w:rPr>
      </w:pPr>
      <w:bookmarkStart w:id="33" w:name="_Toc30224"/>
      <w:bookmarkStart w:id="34" w:name="_Toc12446"/>
      <w:r>
        <w:rPr>
          <w:rFonts w:hint="default" w:ascii="Times New Roman" w:hAnsi="Times New Roman" w:cs="Times New Roman"/>
          <w:highlight w:val="none"/>
          <w:u w:val="none" w:color="auto"/>
          <w:lang w:val="en-US" w:eastAsia="zh-CN"/>
        </w:rPr>
        <w:t>坚持公立医院的公益性，坚持党委领导下的院长负责制</w:t>
      </w:r>
      <w:bookmarkEnd w:id="33"/>
      <w:bookmarkEnd w:id="34"/>
      <w:r>
        <w:rPr>
          <w:rFonts w:hint="default" w:ascii="Times New Roman" w:hAnsi="Times New Roman" w:cs="Times New Roman"/>
          <w:highlight w:val="none"/>
          <w:u w:val="none" w:color="auto"/>
          <w:lang w:val="en-US" w:eastAsia="zh-CN"/>
        </w:rPr>
        <w:t>。</w:t>
      </w:r>
      <w:r>
        <w:rPr>
          <w:rFonts w:hint="eastAsia" w:ascii="Times New Roman" w:hAnsi="Times New Roman" w:cs="Times New Roman"/>
          <w:highlight w:val="none"/>
          <w:u w:val="none" w:color="auto"/>
          <w:lang w:val="en-US" w:eastAsia="zh-CN"/>
        </w:rPr>
        <w:t>支持</w:t>
      </w:r>
      <w:r>
        <w:rPr>
          <w:rFonts w:hint="default" w:ascii="Times New Roman" w:hAnsi="Times New Roman" w:eastAsia="仿宋_GB2312" w:cs="Times New Roman"/>
          <w:b w:val="0"/>
          <w:bCs w:val="0"/>
          <w:color w:val="000000" w:themeColor="text1"/>
          <w:sz w:val="32"/>
          <w:szCs w:val="32"/>
          <w:highlight w:val="none"/>
          <w:u w:val="none" w:color="auto"/>
          <w:lang w:val="en-US" w:eastAsia="zh-CN"/>
          <w14:textFill>
            <w14:solidFill>
              <w14:schemeClr w14:val="tx1"/>
            </w14:solidFill>
          </w14:textFill>
        </w:rPr>
        <w:t>重点学科布局和区域专科建设，建成3个市级</w:t>
      </w:r>
      <w:r>
        <w:rPr>
          <w:rFonts w:hint="default" w:ascii="Times New Roman" w:hAnsi="Times New Roman" w:cs="Times New Roman"/>
          <w:b w:val="0"/>
          <w:bCs w:val="0"/>
          <w:color w:val="000000" w:themeColor="text1"/>
          <w:sz w:val="32"/>
          <w:szCs w:val="32"/>
          <w:highlight w:val="none"/>
          <w:u w:val="none" w:color="auto"/>
          <w:lang w:val="en-US" w:eastAsia="zh-CN"/>
          <w14:textFill>
            <w14:solidFill>
              <w14:schemeClr w14:val="tx1"/>
            </w14:solidFill>
          </w14:textFill>
        </w:rPr>
        <w:t>及以上</w:t>
      </w:r>
      <w:r>
        <w:rPr>
          <w:rFonts w:hint="default" w:ascii="Times New Roman" w:hAnsi="Times New Roman" w:eastAsia="仿宋_GB2312" w:cs="Times New Roman"/>
          <w:b w:val="0"/>
          <w:bCs w:val="0"/>
          <w:color w:val="000000" w:themeColor="text1"/>
          <w:sz w:val="32"/>
          <w:szCs w:val="32"/>
          <w:highlight w:val="none"/>
          <w:u w:val="none" w:color="auto"/>
          <w:lang w:val="en-US" w:eastAsia="zh-CN"/>
          <w14:textFill>
            <w14:solidFill>
              <w14:schemeClr w14:val="tx1"/>
            </w14:solidFill>
          </w14:textFill>
        </w:rPr>
        <w:t>重点专科。</w:t>
      </w:r>
      <w:r>
        <w:rPr>
          <w:rFonts w:hint="default" w:ascii="Times New Roman" w:hAnsi="Times New Roman" w:cs="Times New Roman"/>
          <w:highlight w:val="none"/>
          <w:u w:val="none" w:color="auto"/>
          <w:lang w:val="en-US" w:eastAsia="zh-CN"/>
        </w:rPr>
        <w:t>加强编制统筹管理，完善编制动态调整机制。健全体现医疗服务技术劳动价值的收费机制，落实“两个允许”，完善体现岗位职责和技术劳动价值的薪酬体系。完善医院内部管理制度，推行公立医院主要负责人目标年薪制。持续开展区级公立医院绩效考核工作，建立健全医院全面预算管理体系。支持区属医院在不改变隶属关系的基础上，加挂市属、高校附属医院牌子，</w:t>
      </w:r>
      <w:r>
        <w:rPr>
          <w:rFonts w:hint="eastAsia" w:ascii="Times New Roman" w:hAnsi="Times New Roman" w:cs="Times New Roman"/>
          <w:highlight w:val="none"/>
          <w:u w:val="none" w:color="auto"/>
          <w:lang w:val="en-US" w:eastAsia="zh-CN"/>
        </w:rPr>
        <w:t>支持</w:t>
      </w:r>
      <w:r>
        <w:rPr>
          <w:rFonts w:hint="default" w:ascii="Times New Roman" w:hAnsi="Times New Roman" w:eastAsia="仿宋_GB2312" w:cs="Times New Roman"/>
          <w:sz w:val="32"/>
          <w:szCs w:val="32"/>
          <w:highlight w:val="none"/>
          <w:u w:val="none" w:color="auto"/>
        </w:rPr>
        <w:t>花都区人民医院</w:t>
      </w:r>
      <w:r>
        <w:rPr>
          <w:rFonts w:hint="default" w:ascii="Times New Roman" w:hAnsi="Times New Roman" w:cs="Times New Roman"/>
          <w:sz w:val="32"/>
          <w:szCs w:val="32"/>
          <w:highlight w:val="none"/>
          <w:u w:val="none" w:color="auto"/>
          <w:lang w:val="en-US" w:eastAsia="zh-CN"/>
        </w:rPr>
        <w:t>加挂市属医院牌子</w:t>
      </w:r>
      <w:r>
        <w:rPr>
          <w:rFonts w:hint="default" w:ascii="Times New Roman" w:hAnsi="Times New Roman" w:cs="Times New Roman"/>
          <w:highlight w:val="none"/>
          <w:u w:val="none" w:color="auto"/>
          <w:lang w:val="en-US" w:eastAsia="zh-CN"/>
        </w:rPr>
        <w:t>。支持区属医院建设市级区域诊治中心、区级医疗中心。加强区级医院医疗服务质量管理，提供优质护理服务，保障用药安全。支持区属医院按需配置高端医疗设备。</w:t>
      </w:r>
    </w:p>
    <w:p w14:paraId="17C6139B">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楷体_GB2312" w:hAnsi="楷体_GB2312" w:eastAsia="楷体_GB2312" w:cs="楷体_GB2312"/>
          <w:highlight w:val="none"/>
          <w:u w:val="none" w:color="auto"/>
          <w:lang w:val="en-US" w:eastAsia="zh-CN"/>
        </w:rPr>
      </w:pPr>
      <w:r>
        <w:rPr>
          <w:rFonts w:hint="eastAsia" w:ascii="楷体_GB2312" w:hAnsi="楷体_GB2312" w:eastAsia="楷体_GB2312" w:cs="楷体_GB2312"/>
          <w:highlight w:val="none"/>
          <w:u w:val="none" w:color="auto"/>
          <w:lang w:val="en-US" w:eastAsia="zh-CN"/>
        </w:rPr>
        <w:t>（四）提升基层医疗卫生服务能力。</w:t>
      </w:r>
    </w:p>
    <w:p w14:paraId="1045AA22">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ascii="Times New Roman" w:hAnsi="Times New Roman" w:eastAsia="仿宋_GB2312" w:cs="Times New Roman"/>
          <w:highlight w:val="none"/>
          <w:u w:val="none" w:color="auto"/>
          <w:lang w:val="en-US" w:eastAsia="zh-CN"/>
        </w:rPr>
      </w:pPr>
      <w:r>
        <w:rPr>
          <w:rFonts w:hint="default" w:ascii="Times New Roman" w:hAnsi="Times New Roman" w:cs="Times New Roman"/>
          <w:color w:val="000000" w:themeColor="text1"/>
          <w:sz w:val="32"/>
          <w:szCs w:val="32"/>
          <w:highlight w:val="none"/>
          <w:u w:val="none" w:color="auto"/>
          <w:lang w:val="en-US" w:eastAsia="zh-CN"/>
          <w14:textFill>
            <w14:solidFill>
              <w14:schemeClr w14:val="tx1"/>
            </w14:solidFill>
          </w14:textFill>
        </w:rPr>
        <w:t>大力推进“优质服务基层行”活动，鼓励符合条件的基层医疗卫生机构积极申报社区医院，“十五五”时期至少新增2家基层医疗卫生机构达到社区医院标准</w:t>
      </w:r>
      <w:r>
        <w:rPr>
          <w:rFonts w:hint="eastAsia" w:cs="Times New Roman"/>
          <w:color w:val="000000" w:themeColor="text1"/>
          <w:sz w:val="32"/>
          <w:szCs w:val="32"/>
          <w:highlight w:val="none"/>
          <w:u w:val="none" w:color="auto"/>
          <w:lang w:val="en-US" w:eastAsia="zh-CN"/>
          <w14:textFill>
            <w14:solidFill>
              <w14:schemeClr w14:val="tx1"/>
            </w14:solidFill>
          </w14:textFill>
        </w:rPr>
        <w:t>，60%的村卫生站达到服务能力标准</w:t>
      </w:r>
      <w:r>
        <w:rPr>
          <w:rFonts w:hint="default" w:ascii="Times New Roman" w:hAnsi="Times New Roman" w:cs="Times New Roman"/>
          <w:color w:val="000000" w:themeColor="text1"/>
          <w:sz w:val="32"/>
          <w:szCs w:val="32"/>
          <w:highlight w:val="none"/>
          <w:u w:val="none" w:color="auto"/>
          <w:lang w:val="en-US" w:eastAsia="zh-CN"/>
          <w14:textFill>
            <w14:solidFill>
              <w14:schemeClr w14:val="tx1"/>
            </w14:solidFill>
          </w14:textFill>
        </w:rPr>
        <w:t>。</w:t>
      </w:r>
      <w:r>
        <w:rPr>
          <w:rFonts w:hint="eastAsia" w:ascii="Times New Roman" w:hAnsi="Times New Roman" w:cs="Times New Roman"/>
          <w:color w:val="000000" w:themeColor="text1"/>
          <w:sz w:val="32"/>
          <w:szCs w:val="32"/>
          <w:highlight w:val="none"/>
          <w:u w:val="none" w:color="auto"/>
          <w:lang w:val="en-US" w:eastAsia="zh-CN"/>
          <w14:textFill>
            <w14:solidFill>
              <w14:schemeClr w14:val="tx1"/>
            </w14:solidFill>
          </w14:textFill>
        </w:rPr>
        <w:t>打造基层“一机构一特色”服务品牌。</w:t>
      </w:r>
      <w:r>
        <w:rPr>
          <w:rFonts w:hint="eastAsia" w:cs="Times New Roman"/>
          <w:color w:val="000000" w:themeColor="text1"/>
          <w:sz w:val="32"/>
          <w:szCs w:val="32"/>
          <w:highlight w:val="none"/>
          <w:u w:val="none" w:color="auto"/>
          <w:lang w:val="en-US" w:eastAsia="zh-CN"/>
          <w14:textFill>
            <w14:solidFill>
              <w14:schemeClr w14:val="tx1"/>
            </w14:solidFill>
          </w14:textFill>
        </w:rPr>
        <w:t>加快</w:t>
      </w:r>
      <w:r>
        <w:rPr>
          <w:rFonts w:hint="default" w:ascii="Times New Roman" w:hAnsi="Times New Roman" w:cs="Times New Roman"/>
          <w:color w:val="000000" w:themeColor="text1"/>
          <w:sz w:val="32"/>
          <w:szCs w:val="32"/>
          <w:highlight w:val="none"/>
          <w:u w:val="none" w:color="auto"/>
          <w:lang w:val="en-US" w:eastAsia="zh-CN"/>
          <w14:textFill>
            <w14:solidFill>
              <w14:schemeClr w14:val="tx1"/>
            </w14:solidFill>
          </w14:textFill>
        </w:rPr>
        <w:t>推进基层自动化腹膜透析治疗服务能力</w:t>
      </w:r>
      <w:r>
        <w:rPr>
          <w:rFonts w:hint="eastAsia" w:cs="Times New Roman"/>
          <w:color w:val="000000" w:themeColor="text1"/>
          <w:sz w:val="32"/>
          <w:szCs w:val="32"/>
          <w:highlight w:val="none"/>
          <w:u w:val="none" w:color="auto"/>
          <w:lang w:val="en-US" w:eastAsia="zh-CN"/>
          <w14:textFill>
            <w14:solidFill>
              <w14:schemeClr w14:val="tx1"/>
            </w14:solidFill>
          </w14:textFill>
        </w:rPr>
        <w:t>试点建设</w:t>
      </w:r>
      <w:r>
        <w:rPr>
          <w:rFonts w:hint="default" w:ascii="Times New Roman" w:hAnsi="Times New Roman" w:cs="Times New Roman"/>
          <w:color w:val="000000" w:themeColor="text1"/>
          <w:sz w:val="32"/>
          <w:szCs w:val="32"/>
          <w:highlight w:val="none"/>
          <w:u w:val="none" w:color="auto"/>
          <w:lang w:val="en-US" w:eastAsia="zh-CN"/>
          <w14:textFill>
            <w14:solidFill>
              <w14:schemeClr w14:val="tx1"/>
            </w14:solidFill>
          </w14:textFill>
        </w:rPr>
        <w:t>。</w:t>
      </w:r>
      <w:r>
        <w:rPr>
          <w:rFonts w:hint="eastAsia" w:ascii="Times New Roman" w:hAnsi="Times New Roman" w:cs="Times New Roman"/>
          <w:color w:val="000000" w:themeColor="text1"/>
          <w:sz w:val="32"/>
          <w:szCs w:val="32"/>
          <w:highlight w:val="none"/>
          <w:u w:val="none" w:color="auto"/>
          <w:lang w:val="en-US" w:eastAsia="zh-CN"/>
          <w14:textFill>
            <w14:solidFill>
              <w14:schemeClr w14:val="tx1"/>
            </w14:solidFill>
          </w14:textFill>
        </w:rPr>
        <w:t>全面实行村卫生站“紧密型镇村卫生服务一体化管理”</w:t>
      </w:r>
      <w:r>
        <w:rPr>
          <w:rFonts w:hint="eastAsia" w:cs="Times New Roman"/>
          <w:color w:val="000000" w:themeColor="text1"/>
          <w:sz w:val="32"/>
          <w:szCs w:val="32"/>
          <w:highlight w:val="none"/>
          <w:u w:val="none" w:color="auto"/>
          <w:lang w:val="en-US" w:eastAsia="zh-CN"/>
          <w14:textFill>
            <w14:solidFill>
              <w14:schemeClr w14:val="tx1"/>
            </w14:solidFill>
          </w14:textFill>
        </w:rPr>
        <w:t>，持续推进</w:t>
      </w:r>
      <w:r>
        <w:rPr>
          <w:rFonts w:hint="eastAsia" w:ascii="Times New Roman" w:hAnsi="Times New Roman" w:cs="Times New Roman"/>
          <w:color w:val="000000" w:themeColor="text1"/>
          <w:sz w:val="32"/>
          <w:szCs w:val="32"/>
          <w:highlight w:val="none"/>
          <w:u w:val="none" w:color="auto"/>
          <w:lang w:val="en-US" w:eastAsia="zh-CN"/>
          <w14:textFill>
            <w14:solidFill>
              <w14:schemeClr w14:val="tx1"/>
            </w14:solidFill>
          </w14:textFill>
        </w:rPr>
        <w:t>“一元钱看病”工作。引入AI家庭医生助手</w:t>
      </w:r>
      <w:r>
        <w:rPr>
          <w:rFonts w:hint="eastAsia" w:cs="Times New Roman"/>
          <w:color w:val="000000" w:themeColor="text1"/>
          <w:sz w:val="32"/>
          <w:szCs w:val="32"/>
          <w:highlight w:val="none"/>
          <w:u w:val="none" w:color="auto"/>
          <w:lang w:val="en-US" w:eastAsia="zh-CN"/>
          <w14:textFill>
            <w14:solidFill>
              <w14:schemeClr w14:val="tx1"/>
            </w14:solidFill>
          </w14:textFill>
        </w:rPr>
        <w:t>，落地港式家庭医生服务，持续实施“千人百家”淬炼提升工程家庭医生培训，家庭医生签约居民知晓率达90%以上。</w:t>
      </w:r>
    </w:p>
    <w:p w14:paraId="3FFE3C8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highlight w:val="none"/>
          <w:u w:val="none" w:color="auto"/>
          <w:lang w:val="en-US" w:eastAsia="zh-CN"/>
        </w:rPr>
      </w:pPr>
      <w:r>
        <w:rPr>
          <w:rFonts w:hint="eastAsia" w:ascii="黑体" w:hAnsi="黑体" w:eastAsia="黑体" w:cs="黑体"/>
          <w:highlight w:val="none"/>
          <w:u w:val="none" w:color="auto"/>
          <w:lang w:val="en-US" w:eastAsia="zh-CN"/>
        </w:rPr>
        <w:t>七、推动生物医药产业与健康产业发展</w:t>
      </w:r>
    </w:p>
    <w:p w14:paraId="534569C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highlight w:val="none"/>
          <w:u w:val="none" w:color="auto"/>
          <w:lang w:val="en-US" w:eastAsia="zh-CN"/>
        </w:rPr>
      </w:pPr>
      <w:r>
        <w:rPr>
          <w:rFonts w:hint="eastAsia" w:ascii="楷体_GB2312" w:hAnsi="楷体_GB2312" w:eastAsia="楷体_GB2312" w:cs="楷体_GB2312"/>
          <w:highlight w:val="none"/>
          <w:u w:val="none" w:color="auto"/>
          <w:lang w:val="en-US" w:eastAsia="zh-CN"/>
        </w:rPr>
        <w:t>（一）推动生物医药与健康产业集聚发展。</w:t>
      </w:r>
    </w:p>
    <w:p w14:paraId="7014CDC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cs="Times New Roman"/>
          <w:highlight w:val="none"/>
          <w:u w:val="none" w:color="auto"/>
          <w:lang w:val="en-US" w:eastAsia="zh-CN"/>
        </w:rPr>
      </w:pPr>
      <w:r>
        <w:rPr>
          <w:rFonts w:hint="eastAsia" w:ascii="Times New Roman" w:hAnsi="Times New Roman" w:cs="Times New Roman"/>
          <w:highlight w:val="none"/>
          <w:u w:val="none" w:color="auto"/>
          <w:lang w:val="en-US" w:eastAsia="zh-CN"/>
        </w:rPr>
        <w:t>加快构建生物医药产业“一核三擎”产业发展格局。依托生物医药与健康特色园、华南生物医药分拨中心及生物医药专项引导基金，大力招引创新药研发制造、高端医疗设备与器械、医疗美容等细分赛道优质企业，培育壮大。充分发挥花都“空铁双枢纽”物流优势，支持建设粤港澳大湾区医药冷链物流与制备中心，配套绿色通道与临床场景开放，吸引龙头企业布局区域药房与研发基地。探索低空无人机配送医疗物资应用场景。加快引进港澳先进临床急需药械，对创新药械入选产品做到“应配尽配”，推动本土转化。</w:t>
      </w:r>
    </w:p>
    <w:p w14:paraId="34E76C5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highlight w:val="none"/>
          <w:u w:val="none" w:color="auto"/>
          <w:lang w:val="en-US" w:eastAsia="zh-CN"/>
        </w:rPr>
      </w:pPr>
      <w:r>
        <w:rPr>
          <w:rFonts w:hint="eastAsia" w:ascii="楷体_GB2312" w:hAnsi="楷体_GB2312" w:eastAsia="楷体_GB2312" w:cs="楷体_GB2312"/>
          <w:highlight w:val="none"/>
          <w:u w:val="none" w:color="auto"/>
          <w:lang w:val="en-US" w:eastAsia="zh-CN"/>
        </w:rPr>
        <w:t>（二）优化多元办医社会氛围。</w:t>
      </w:r>
    </w:p>
    <w:p w14:paraId="2FF1F10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000000" w:themeColor="text1"/>
          <w:highlight w:val="none"/>
          <w:u w:val="none" w:color="auto"/>
          <w:lang w:val="en-US" w:eastAsia="zh-CN"/>
          <w14:textFill>
            <w14:solidFill>
              <w14:schemeClr w14:val="tx1"/>
            </w14:solidFill>
          </w14:textFill>
        </w:rPr>
      </w:pPr>
      <w:r>
        <w:rPr>
          <w:rFonts w:hint="eastAsia"/>
          <w:color w:val="000000" w:themeColor="text1"/>
          <w:highlight w:val="none"/>
          <w:u w:val="none" w:color="auto"/>
          <w:lang w:val="en-US" w:eastAsia="zh-CN"/>
          <w14:textFill>
            <w14:solidFill>
              <w14:schemeClr w14:val="tx1"/>
            </w14:solidFill>
          </w14:textFill>
        </w:rPr>
        <w:t>促进健康消费提质扩容，支持发展健康咨询和管理、养生保健等健康主题服务项目，发展专业导诊陪诊等人文关怀服务以及上门服务等居家医疗服务。保障社会办医用地供给，</w:t>
      </w:r>
      <w:r>
        <w:rPr>
          <w:rFonts w:hint="default" w:ascii="Times New Roman" w:hAnsi="Times New Roman" w:eastAsia="仿宋_GB2312" w:cs="Times New Roman"/>
          <w:sz w:val="32"/>
          <w:szCs w:val="32"/>
          <w:u w:val="none" w:color="auto"/>
          <w:lang w:val="en-US" w:eastAsia="zh-CN"/>
        </w:rPr>
        <w:t>鼓励社会资本在高端心脑血管、国际医疗、生殖优育等资源稀缺领域举办大型专科医院或“大专科、小综合”医院</w:t>
      </w:r>
      <w:r>
        <w:rPr>
          <w:rFonts w:hint="eastAsia" w:ascii="Times New Roman" w:hAnsi="Times New Roman" w:cs="Times New Roman"/>
          <w:sz w:val="32"/>
          <w:szCs w:val="32"/>
          <w:u w:val="none" w:color="auto"/>
          <w:lang w:val="en-US" w:eastAsia="zh-CN"/>
        </w:rPr>
        <w:t>，</w:t>
      </w:r>
      <w:r>
        <w:rPr>
          <w:rFonts w:hint="eastAsia"/>
          <w:color w:val="000000" w:themeColor="text1"/>
          <w:highlight w:val="none"/>
          <w:u w:val="none" w:color="auto"/>
          <w:lang w:val="en-US" w:eastAsia="zh-CN"/>
          <w14:textFill>
            <w14:solidFill>
              <w14:schemeClr w14:val="tx1"/>
            </w14:solidFill>
          </w14:textFill>
        </w:rPr>
        <w:t>引导民营医院落户医疗资源薄弱区域或举办医疗美容、儿科、康复、精神卫生、护理、中医医疗机构。推动社会办医机构与区属医院探索建立符合双方需求的定向帮扶机制。按照政府购买服务形式，适当引进民营资本举办社区卫生服务中心。</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53A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26D44A3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color w:val="000000" w:themeColor="text1"/>
                <w:sz w:val="28"/>
                <w:szCs w:val="28"/>
                <w:highlight w:val="none"/>
                <w:u w:val="none" w:color="auto"/>
                <w:vertAlign w:val="baseline"/>
                <w:lang w:val="en-US" w:eastAsia="zh-CN"/>
                <w14:textFill>
                  <w14:solidFill>
                    <w14:schemeClr w14:val="tx1"/>
                  </w14:solidFill>
                </w14:textFill>
              </w:rPr>
            </w:pPr>
            <w:r>
              <w:rPr>
                <w:rFonts w:hint="default" w:ascii="Times New Roman" w:hAnsi="Times New Roman" w:eastAsia="楷体_GB2312" w:cs="Times New Roman"/>
                <w:color w:val="000000" w:themeColor="text1"/>
                <w:sz w:val="28"/>
                <w:szCs w:val="28"/>
                <w:highlight w:val="none"/>
                <w:u w:val="none" w:color="auto"/>
                <w:vertAlign w:val="baseline"/>
                <w:lang w:val="en-US" w:eastAsia="zh-CN"/>
                <w14:textFill>
                  <w14:solidFill>
                    <w14:schemeClr w14:val="tx1"/>
                  </w14:solidFill>
                </w14:textFill>
              </w:rPr>
              <w:t>专栏4：</w:t>
            </w:r>
            <w:r>
              <w:rPr>
                <w:rFonts w:hint="eastAsia" w:eastAsia="楷体_GB2312" w:cs="Times New Roman"/>
                <w:color w:val="000000" w:themeColor="text1"/>
                <w:sz w:val="28"/>
                <w:szCs w:val="28"/>
                <w:highlight w:val="none"/>
                <w:u w:val="none" w:color="auto"/>
                <w:vertAlign w:val="baseline"/>
                <w:lang w:val="en-US" w:eastAsia="zh-CN"/>
                <w14:textFill>
                  <w14:solidFill>
                    <w14:schemeClr w14:val="tx1"/>
                  </w14:solidFill>
                </w14:textFill>
              </w:rPr>
              <w:t>广州市花都区“十五五”时期</w:t>
            </w:r>
            <w:r>
              <w:rPr>
                <w:rFonts w:hint="default" w:ascii="Times New Roman" w:hAnsi="Times New Roman" w:eastAsia="楷体_GB2312" w:cs="Times New Roman"/>
                <w:sz w:val="28"/>
                <w:szCs w:val="28"/>
                <w:highlight w:val="none"/>
                <w:u w:val="none" w:color="auto"/>
                <w:lang w:val="en-US" w:eastAsia="zh-CN"/>
              </w:rPr>
              <w:t>生物医药产业“一核三擎”发展格局</w:t>
            </w:r>
          </w:p>
        </w:tc>
      </w:tr>
      <w:tr w14:paraId="25E0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5E9BE91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highlight w:val="none"/>
                <w:u w:val="none" w:color="auto"/>
                <w:lang w:val="en-US" w:eastAsia="zh-CN"/>
              </w:rPr>
            </w:pPr>
            <w:r>
              <w:rPr>
                <w:rFonts w:hint="eastAsia" w:cs="Times New Roman"/>
                <w:sz w:val="28"/>
                <w:szCs w:val="28"/>
                <w:highlight w:val="none"/>
                <w:u w:val="none" w:color="auto"/>
                <w:lang w:val="en-US" w:eastAsia="zh-CN"/>
              </w:rPr>
              <w:t>1.</w:t>
            </w:r>
            <w:r>
              <w:rPr>
                <w:rFonts w:hint="eastAsia" w:ascii="Times New Roman" w:hAnsi="Times New Roman" w:cs="Times New Roman"/>
                <w:sz w:val="28"/>
                <w:szCs w:val="28"/>
                <w:highlight w:val="none"/>
                <w:u w:val="none" w:color="auto"/>
                <w:lang w:val="en-US" w:eastAsia="zh-CN"/>
              </w:rPr>
              <w:t>“一核”</w:t>
            </w:r>
            <w:r>
              <w:rPr>
                <w:rFonts w:hint="eastAsia" w:cs="Times New Roman"/>
                <w:sz w:val="28"/>
                <w:szCs w:val="28"/>
                <w:highlight w:val="none"/>
                <w:u w:val="none" w:color="auto"/>
                <w:lang w:val="en-US" w:eastAsia="zh-CN"/>
              </w:rPr>
              <w:t>：</w:t>
            </w:r>
            <w:r>
              <w:rPr>
                <w:rFonts w:hint="eastAsia" w:ascii="Times New Roman" w:hAnsi="Times New Roman" w:cs="Times New Roman"/>
                <w:sz w:val="28"/>
                <w:szCs w:val="28"/>
                <w:highlight w:val="none"/>
                <w:u w:val="none" w:color="auto"/>
                <w:lang w:val="en-US" w:eastAsia="zh-CN"/>
              </w:rPr>
              <w:t>是指机场空港产业极核，</w:t>
            </w:r>
            <w:r>
              <w:rPr>
                <w:rFonts w:hint="eastAsia" w:cs="Times New Roman"/>
                <w:sz w:val="28"/>
                <w:szCs w:val="28"/>
                <w:highlight w:val="none"/>
                <w:u w:val="none" w:color="auto"/>
                <w:lang w:val="en-US" w:eastAsia="zh-CN"/>
              </w:rPr>
              <w:t>依托</w:t>
            </w:r>
            <w:r>
              <w:rPr>
                <w:rFonts w:hint="eastAsia" w:ascii="Times New Roman" w:hAnsi="Times New Roman" w:cs="Times New Roman"/>
                <w:sz w:val="28"/>
                <w:szCs w:val="28"/>
                <w:highlight w:val="none"/>
                <w:u w:val="none" w:color="auto"/>
                <w:lang w:val="en-US" w:eastAsia="zh-CN"/>
              </w:rPr>
              <w:t>东部临空数智港</w:t>
            </w:r>
            <w:r>
              <w:rPr>
                <w:rFonts w:hint="eastAsia" w:cs="Times New Roman"/>
                <w:sz w:val="28"/>
                <w:szCs w:val="28"/>
                <w:highlight w:val="none"/>
                <w:u w:val="none" w:color="auto"/>
                <w:lang w:val="en-US" w:eastAsia="zh-CN"/>
              </w:rPr>
              <w:t>，重点发展药品制造、</w:t>
            </w:r>
            <w:r>
              <w:rPr>
                <w:rFonts w:hint="eastAsia" w:ascii="Times New Roman" w:hAnsi="Times New Roman" w:cs="Times New Roman"/>
                <w:sz w:val="28"/>
                <w:szCs w:val="28"/>
                <w:highlight w:val="none"/>
                <w:u w:val="none" w:color="auto"/>
                <w:lang w:val="en-US" w:eastAsia="zh-CN"/>
              </w:rPr>
              <w:t>细胞治疗、核医学等</w:t>
            </w:r>
            <w:r>
              <w:rPr>
                <w:rFonts w:hint="default"/>
                <w:color w:val="000000" w:themeColor="text1"/>
                <w:sz w:val="28"/>
                <w:szCs w:val="28"/>
                <w:highlight w:val="none"/>
                <w:u w:val="none" w:color="auto"/>
                <w:vertAlign w:val="baseline"/>
                <w:lang w:val="en-US" w:eastAsia="zh-CN"/>
                <w14:textFill>
                  <w14:solidFill>
                    <w14:schemeClr w14:val="tx1"/>
                  </w14:solidFill>
                </w14:textFill>
              </w:rPr>
              <w:t>药品制造、高端医疗器械与设备、医疗美容等领域，积极吸引医疗器械、现代中药、精准医疗、体外诊断及健康服务等领域的优质企业集聚，加快建设生物医药孵化器项目、华润智慧医药物流（广东）、百草堂（花都）制药基地</w:t>
            </w:r>
            <w:r>
              <w:rPr>
                <w:rFonts w:hint="eastAsia" w:ascii="Times New Roman" w:hAnsi="Times New Roman" w:cs="Times New Roman"/>
                <w:sz w:val="28"/>
                <w:szCs w:val="28"/>
                <w:highlight w:val="none"/>
                <w:u w:val="none" w:color="auto"/>
                <w:lang w:val="en-US" w:eastAsia="zh-CN"/>
              </w:rPr>
              <w:t>，打造细胞治疗产业创新与临床转化平台</w:t>
            </w:r>
            <w:r>
              <w:rPr>
                <w:rFonts w:hint="default"/>
                <w:color w:val="000000" w:themeColor="text1"/>
                <w:sz w:val="28"/>
                <w:szCs w:val="28"/>
                <w:highlight w:val="none"/>
                <w:u w:val="none" w:color="auto"/>
                <w:vertAlign w:val="baseline"/>
                <w:lang w:val="en-US" w:eastAsia="zh-CN"/>
                <w14:textFill>
                  <w14:solidFill>
                    <w14:schemeClr w14:val="tx1"/>
                  </w14:solidFill>
                </w14:textFill>
              </w:rPr>
              <w:t>等重点项目</w:t>
            </w:r>
            <w:r>
              <w:rPr>
                <w:rFonts w:hint="eastAsia"/>
                <w:color w:val="000000" w:themeColor="text1"/>
                <w:sz w:val="28"/>
                <w:szCs w:val="28"/>
                <w:highlight w:val="none"/>
                <w:u w:val="none" w:color="auto"/>
                <w:vertAlign w:val="baseline"/>
                <w:lang w:val="en-US" w:eastAsia="zh-CN"/>
                <w14:textFill>
                  <w14:solidFill>
                    <w14:schemeClr w14:val="tx1"/>
                  </w14:solidFill>
                </w14:textFill>
              </w:rPr>
              <w:t>。</w:t>
            </w:r>
            <w:r>
              <w:rPr>
                <w:rFonts w:hint="eastAsia" w:ascii="Times New Roman" w:hAnsi="Times New Roman" w:cs="Times New Roman"/>
                <w:sz w:val="28"/>
                <w:szCs w:val="28"/>
                <w:highlight w:val="none"/>
                <w:u w:val="none" w:color="auto"/>
                <w:lang w:val="en-US" w:eastAsia="zh-CN"/>
              </w:rPr>
              <w:t>加快引进依赖</w:t>
            </w:r>
            <w:r>
              <w:rPr>
                <w:rFonts w:hint="eastAsia" w:cs="Times New Roman"/>
                <w:sz w:val="28"/>
                <w:szCs w:val="28"/>
                <w:highlight w:val="none"/>
                <w:u w:val="none" w:color="auto"/>
                <w:lang w:val="en-US" w:eastAsia="zh-CN"/>
              </w:rPr>
              <w:t>空港枢纽</w:t>
            </w:r>
            <w:r>
              <w:rPr>
                <w:rFonts w:hint="eastAsia" w:ascii="Times New Roman" w:hAnsi="Times New Roman" w:cs="Times New Roman"/>
                <w:sz w:val="28"/>
                <w:szCs w:val="28"/>
                <w:highlight w:val="none"/>
                <w:u w:val="none" w:color="auto"/>
                <w:lang w:val="en-US" w:eastAsia="zh-CN"/>
              </w:rPr>
              <w:t>的</w:t>
            </w:r>
            <w:r>
              <w:rPr>
                <w:rFonts w:hint="default"/>
                <w:color w:val="000000" w:themeColor="text1"/>
                <w:sz w:val="28"/>
                <w:szCs w:val="28"/>
                <w:highlight w:val="none"/>
                <w:u w:val="none" w:color="auto"/>
                <w:vertAlign w:val="baseline"/>
                <w:lang w:val="en-US" w:eastAsia="zh-CN"/>
                <w14:textFill>
                  <w14:solidFill>
                    <w14:schemeClr w14:val="tx1"/>
                  </w14:solidFill>
                </w14:textFill>
              </w:rPr>
              <w:t>医药流通、</w:t>
            </w:r>
            <w:r>
              <w:rPr>
                <w:rFonts w:hint="eastAsia" w:ascii="Times New Roman" w:hAnsi="Times New Roman" w:cs="Times New Roman"/>
                <w:sz w:val="28"/>
                <w:szCs w:val="28"/>
                <w:highlight w:val="none"/>
                <w:u w:val="none" w:color="auto"/>
                <w:lang w:val="en-US" w:eastAsia="zh-CN"/>
              </w:rPr>
              <w:t>生物制品、航空医疗、特医食品、低空经济等企业落户花都</w:t>
            </w:r>
            <w:r>
              <w:rPr>
                <w:rFonts w:hint="eastAsia" w:cs="Times New Roman"/>
                <w:sz w:val="28"/>
                <w:szCs w:val="28"/>
                <w:highlight w:val="none"/>
                <w:u w:val="none" w:color="auto"/>
                <w:lang w:val="en-US" w:eastAsia="zh-CN"/>
              </w:rPr>
              <w:t>。</w:t>
            </w:r>
          </w:p>
          <w:p w14:paraId="0A6C671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imes New Roman" w:hAnsi="Times New Roman" w:cs="Times New Roman"/>
                <w:sz w:val="28"/>
                <w:szCs w:val="28"/>
                <w:highlight w:val="none"/>
                <w:u w:val="none" w:color="auto"/>
                <w:lang w:val="en-US" w:eastAsia="zh-CN"/>
              </w:rPr>
            </w:pPr>
            <w:r>
              <w:rPr>
                <w:rFonts w:hint="eastAsia" w:cs="Times New Roman"/>
                <w:sz w:val="28"/>
                <w:szCs w:val="28"/>
                <w:highlight w:val="none"/>
                <w:u w:val="none" w:color="auto"/>
                <w:lang w:val="en-US" w:eastAsia="zh-CN"/>
              </w:rPr>
              <w:t>2.</w:t>
            </w:r>
            <w:r>
              <w:rPr>
                <w:rFonts w:hint="eastAsia" w:ascii="Times New Roman" w:hAnsi="Times New Roman" w:cs="Times New Roman"/>
                <w:sz w:val="28"/>
                <w:szCs w:val="28"/>
                <w:highlight w:val="none"/>
                <w:u w:val="none" w:color="auto"/>
                <w:lang w:val="en-US" w:eastAsia="zh-CN"/>
              </w:rPr>
              <w:t>“三擎”</w:t>
            </w:r>
            <w:r>
              <w:rPr>
                <w:rFonts w:hint="eastAsia" w:cs="Times New Roman"/>
                <w:sz w:val="28"/>
                <w:szCs w:val="28"/>
                <w:highlight w:val="none"/>
                <w:u w:val="none" w:color="auto"/>
                <w:lang w:val="en-US" w:eastAsia="zh-CN"/>
              </w:rPr>
              <w:t>：（1）</w:t>
            </w:r>
            <w:r>
              <w:rPr>
                <w:rFonts w:hint="eastAsia" w:ascii="Times New Roman" w:hAnsi="Times New Roman" w:cs="Times New Roman"/>
                <w:sz w:val="28"/>
                <w:szCs w:val="28"/>
                <w:highlight w:val="none"/>
                <w:u w:val="none" w:color="auto"/>
                <w:lang w:val="en-US" w:eastAsia="zh-CN"/>
              </w:rPr>
              <w:t>魅力医美活力引擎</w:t>
            </w:r>
            <w:r>
              <w:rPr>
                <w:rFonts w:hint="eastAsia" w:cs="Times New Roman"/>
                <w:sz w:val="28"/>
                <w:szCs w:val="28"/>
                <w:highlight w:val="none"/>
                <w:u w:val="none" w:color="auto"/>
                <w:lang w:val="en-US" w:eastAsia="zh-CN"/>
              </w:rPr>
              <w:t>：规划建设医疗美容特色示范街，引进医疗美容及相关企业。（2）</w:t>
            </w:r>
            <w:r>
              <w:rPr>
                <w:rFonts w:hint="eastAsia" w:ascii="Times New Roman" w:hAnsi="Times New Roman" w:cs="Times New Roman"/>
                <w:sz w:val="28"/>
                <w:szCs w:val="28"/>
                <w:highlight w:val="none"/>
                <w:u w:val="none" w:color="auto"/>
                <w:lang w:val="en-US" w:eastAsia="zh-CN"/>
              </w:rPr>
              <w:t>岐黄中医创新引擎</w:t>
            </w:r>
            <w:r>
              <w:rPr>
                <w:rFonts w:hint="eastAsia" w:cs="Times New Roman"/>
                <w:sz w:val="28"/>
                <w:szCs w:val="28"/>
                <w:highlight w:val="none"/>
                <w:u w:val="none" w:color="auto"/>
                <w:lang w:val="en-US" w:eastAsia="zh-CN"/>
              </w:rPr>
              <w:t>：立足岭南中医药资源，依托广东省中医临床研究院花都院区技术优势，打造集药材种植、创新研发、临床应用的中医药产学研转化链条。（3）</w:t>
            </w:r>
            <w:r>
              <w:rPr>
                <w:rFonts w:hint="eastAsia" w:ascii="Times New Roman" w:hAnsi="Times New Roman" w:cs="Times New Roman"/>
                <w:sz w:val="28"/>
                <w:szCs w:val="28"/>
                <w:highlight w:val="none"/>
                <w:u w:val="none" w:color="auto"/>
                <w:lang w:val="en-US" w:eastAsia="zh-CN"/>
              </w:rPr>
              <w:t>北部康养动力引擎</w:t>
            </w:r>
            <w:r>
              <w:rPr>
                <w:rFonts w:hint="eastAsia" w:cs="Times New Roman"/>
                <w:sz w:val="28"/>
                <w:szCs w:val="28"/>
                <w:highlight w:val="none"/>
                <w:u w:val="none" w:color="auto"/>
                <w:lang w:val="en-US" w:eastAsia="zh-CN"/>
              </w:rPr>
              <w:t>：依托北部文旅生态湾，重点布局康养器械研发、岭南药食同源产品中试、天然植物提取物轻量加工，发展森林康养、中医旅居养老，打造医养文旅融合生态康养目的地。</w:t>
            </w:r>
          </w:p>
        </w:tc>
      </w:tr>
    </w:tbl>
    <w:p w14:paraId="596F52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themeColor="text1"/>
          <w:highlight w:val="none"/>
          <w:u w:val="none" w:color="auto"/>
          <w:lang w:val="en-US" w:eastAsia="zh-CN"/>
          <w14:textFill>
            <w14:solidFill>
              <w14:schemeClr w14:val="tx1"/>
            </w14:solidFill>
          </w14:textFill>
        </w:rPr>
      </w:pPr>
      <w:r>
        <w:rPr>
          <w:rFonts w:hint="eastAsia" w:ascii="黑体" w:hAnsi="黑体" w:eastAsia="黑体" w:cs="黑体"/>
          <w:color w:val="000000" w:themeColor="text1"/>
          <w:highlight w:val="none"/>
          <w:u w:val="none" w:color="auto"/>
          <w:lang w:val="en-US" w:eastAsia="zh-CN"/>
          <w14:textFill>
            <w14:solidFill>
              <w14:schemeClr w14:val="tx1"/>
            </w14:solidFill>
          </w14:textFill>
        </w:rPr>
        <w:t>八、完善支撑体系建设</w:t>
      </w:r>
    </w:p>
    <w:p w14:paraId="0B5316D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color w:val="000000" w:themeColor="text1"/>
          <w:highlight w:val="none"/>
          <w:u w:val="none" w:color="auto"/>
          <w:lang w:val="en-US" w:eastAsia="zh-CN"/>
          <w14:textFill>
            <w14:solidFill>
              <w14:schemeClr w14:val="tx1"/>
            </w14:solidFill>
          </w14:textFill>
        </w:rPr>
      </w:pPr>
      <w:r>
        <w:rPr>
          <w:rFonts w:hint="eastAsia" w:ascii="楷体_GB2312" w:hAnsi="楷体_GB2312" w:eastAsia="楷体_GB2312" w:cs="楷体_GB2312"/>
          <w:color w:val="000000" w:themeColor="text1"/>
          <w:highlight w:val="none"/>
          <w:u w:val="none" w:color="auto"/>
          <w:lang w:val="en-US" w:eastAsia="zh-CN"/>
          <w14:textFill>
            <w14:solidFill>
              <w14:schemeClr w14:val="tx1"/>
            </w14:solidFill>
          </w14:textFill>
        </w:rPr>
        <w:t>（一）强化卫生健康法治建设和综合监管。</w:t>
      </w:r>
    </w:p>
    <w:p w14:paraId="51227211">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highlight w:val="none"/>
          <w:u w:val="none" w:color="auto"/>
          <w:lang w:val="en-US" w:eastAsia="zh-CN"/>
        </w:rPr>
      </w:pPr>
      <w:r>
        <w:rPr>
          <w:rFonts w:hint="eastAsia"/>
          <w:highlight w:val="none"/>
          <w:u w:val="none" w:color="auto"/>
          <w:lang w:val="en-US" w:eastAsia="zh-CN"/>
        </w:rPr>
        <w:t>坚持数字化与法治化深度融合，完善卫生健康法规规范体系。持续推进“放管服”改革和政务公开工作，全面推进“双随机、一公开”监督抽查，落实行政执法公示制度、执法全过程记录制度和重大执法决定法制审核制度。全面推进卫生健康普法工作。健全医疗纠纷预防化解机制，妥善处理涉医行政争议。加强医疗卫生行业综合监管体系和能力建设。完善疾控监测与卫生监督执法联动机制，加强基层卫生监督执法队伍与协管力量建设。完善医疗机构信用等级评价体系。深化“AI+监管”应用场景。大力开展专项整治、经常性督导检查，建立重点领域联动执法网络，严厉打击非法行医、涉人类辅助生殖技术等违法违规行为。</w:t>
      </w:r>
    </w:p>
    <w:p w14:paraId="1E2BAC72">
      <w:pPr>
        <w:pStyle w:val="3"/>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highlight w:val="none"/>
          <w:u w:val="none" w:color="auto"/>
          <w:lang w:val="en-US" w:eastAsia="zh-CN"/>
        </w:rPr>
      </w:pPr>
      <w:bookmarkStart w:id="35" w:name="_Toc26259"/>
      <w:r>
        <w:rPr>
          <w:rFonts w:hint="eastAsia"/>
          <w:highlight w:val="none"/>
          <w:u w:val="none" w:color="auto"/>
          <w:lang w:val="en-US" w:eastAsia="zh-CN"/>
        </w:rPr>
        <w:t>（二）探索智慧赋能医疗服务</w:t>
      </w:r>
      <w:bookmarkEnd w:id="35"/>
      <w:r>
        <w:rPr>
          <w:rFonts w:hint="eastAsia"/>
          <w:highlight w:val="none"/>
          <w:u w:val="none" w:color="auto"/>
          <w:lang w:val="en-US" w:eastAsia="zh-CN"/>
        </w:rPr>
        <w:t>。</w:t>
      </w:r>
    </w:p>
    <w:p w14:paraId="2DA9BC2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highlight w:val="none"/>
          <w:u w:val="none" w:color="auto"/>
          <w:lang w:val="en-US" w:eastAsia="zh-CN"/>
        </w:rPr>
      </w:pPr>
      <w:r>
        <w:rPr>
          <w:rFonts w:hint="eastAsia"/>
          <w:highlight w:val="none"/>
          <w:u w:val="none" w:color="auto"/>
          <w:lang w:val="en-US" w:eastAsia="zh-CN"/>
        </w:rPr>
        <w:t>全面建成覆盖全民、互联互通、智能高效的区域智慧医疗体系，优化全民健康信息平台体系，推动跨机构信息共享和业务协同。统筹推进智慧医院、智慧病房、智慧社区卫生服务中心、智慧医疗社区建设，探索打造具有花都特色的“人工智能+医疗”示范场景，探索AI赋能基层医疗机构、医养结合等应用场景，积极发展在线诊疗、互联网医院、远程医疗等。加强信息和网络安全防护。</w:t>
      </w:r>
    </w:p>
    <w:p w14:paraId="42F7941A">
      <w:pPr>
        <w:pStyle w:val="3"/>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highlight w:val="none"/>
          <w:u w:val="none" w:color="auto"/>
          <w:lang w:val="en-US" w:eastAsia="zh-CN"/>
        </w:rPr>
      </w:pPr>
      <w:bookmarkStart w:id="36" w:name="_Toc1260"/>
      <w:r>
        <w:rPr>
          <w:rFonts w:hint="eastAsia"/>
          <w:highlight w:val="none"/>
          <w:u w:val="none" w:color="auto"/>
          <w:lang w:val="en-US" w:eastAsia="zh-CN"/>
        </w:rPr>
        <w:t>（三）加快卫生健康科技创新</w:t>
      </w:r>
      <w:bookmarkEnd w:id="36"/>
      <w:r>
        <w:rPr>
          <w:rFonts w:hint="eastAsia"/>
          <w:highlight w:val="none"/>
          <w:u w:val="none" w:color="auto"/>
          <w:lang w:val="en-US" w:eastAsia="zh-CN"/>
        </w:rPr>
        <w:t>。</w:t>
      </w:r>
    </w:p>
    <w:p w14:paraId="68D89CC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cs="Times New Roman"/>
          <w:highlight w:val="none"/>
          <w:u w:val="none" w:color="auto"/>
          <w:lang w:val="en-US" w:eastAsia="zh-CN"/>
        </w:rPr>
      </w:pPr>
      <w:r>
        <w:rPr>
          <w:rFonts w:hint="eastAsia"/>
          <w:highlight w:val="none"/>
          <w:u w:val="none" w:color="auto"/>
          <w:lang w:val="en-US" w:eastAsia="zh-CN"/>
        </w:rPr>
        <w:t>加强基础医学、临床医学、公共卫生和医疗器械研发体系与能力建设，</w:t>
      </w:r>
      <w:r>
        <w:rPr>
          <w:rFonts w:hint="eastAsia" w:cs="Times New Roman"/>
          <w:b w:val="0"/>
          <w:bCs w:val="0"/>
          <w:color w:val="000000" w:themeColor="text1"/>
          <w:sz w:val="32"/>
          <w:szCs w:val="32"/>
          <w:highlight w:val="none"/>
          <w:u w:val="none" w:color="auto"/>
          <w:lang w:val="en-US" w:eastAsia="zh-CN"/>
          <w14:textFill>
            <w14:solidFill>
              <w14:schemeClr w14:val="tx1"/>
            </w14:solidFill>
          </w14:textFill>
        </w:rPr>
        <w:t>支持区属医院与区内生物医药企业、科研平台合作建设临床研究转化中心，优先开展细胞治疗、基因治疗、核医学等前沿技术的临床研究和备案应用。</w:t>
      </w:r>
      <w:r>
        <w:rPr>
          <w:rFonts w:hint="eastAsia"/>
          <w:highlight w:val="none"/>
          <w:u w:val="none" w:color="auto"/>
          <w:lang w:val="en-US" w:eastAsia="zh-CN"/>
        </w:rPr>
        <w:t>将科技创新纳入人才评价体系范畴，鼓励医疗机构与生物医药企业联合开展真实世界研究、上市后的临床评价等项目，区级科技专项给予立项和经费支持。完善临床试验机构及研究团队的奖励机制。</w:t>
      </w:r>
      <w:r>
        <w:rPr>
          <w:rFonts w:hint="eastAsia" w:cs="Times New Roman"/>
          <w:b w:val="0"/>
          <w:bCs w:val="0"/>
          <w:color w:val="000000" w:themeColor="text1"/>
          <w:sz w:val="32"/>
          <w:szCs w:val="32"/>
          <w:highlight w:val="none"/>
          <w:u w:val="none" w:color="auto"/>
          <w:lang w:val="en-US" w:eastAsia="zh-CN"/>
          <w14:textFill>
            <w14:solidFill>
              <w14:schemeClr w14:val="tx1"/>
            </w14:solidFill>
          </w14:textFill>
        </w:rPr>
        <w:t>鼓励符合条件的医疗机构申请干细胞临床研究备案机构。</w:t>
      </w:r>
    </w:p>
    <w:p w14:paraId="2035F5D2">
      <w:pPr>
        <w:pStyle w:val="3"/>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highlight w:val="none"/>
          <w:u w:val="none" w:color="auto"/>
          <w:lang w:val="en-US" w:eastAsia="zh-CN"/>
        </w:rPr>
      </w:pPr>
      <w:r>
        <w:rPr>
          <w:rFonts w:hint="eastAsia"/>
          <w:highlight w:val="none"/>
          <w:u w:val="none" w:color="auto"/>
          <w:lang w:val="en-US" w:eastAsia="zh-CN"/>
        </w:rPr>
        <w:t>（四）加强卫生健康人才队伍建设。</w:t>
      </w:r>
    </w:p>
    <w:p w14:paraId="428D0DAD">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highlight w:val="none"/>
          <w:u w:val="none" w:color="auto"/>
          <w:lang w:val="en-US" w:eastAsia="zh-CN"/>
        </w:rPr>
      </w:pPr>
      <w:r>
        <w:rPr>
          <w:rFonts w:hint="eastAsia"/>
          <w:highlight w:val="none"/>
          <w:u w:val="none" w:color="auto"/>
          <w:lang w:val="en-US" w:eastAsia="zh-CN"/>
        </w:rPr>
        <w:t>加快引进医疗卫生领域领军人才、学科带头人和高水平创新团队，加强急需紧缺专业技术人才的培养和引进力度。鼓励医疗机构返聘退休专业技术人才，完善人才队伍梯队建设。鼓励区级医院与院校合作共建人才培训基地，强化基础医学、临床医学、临床药学人才培养。推进医务人员“四个规范化”培训。加大基层医疗卫生机构人员招聘力度，</w:t>
      </w:r>
      <w:r>
        <w:rPr>
          <w:rFonts w:hint="eastAsia" w:ascii="Times New Roman" w:hAnsi="Times New Roman" w:cs="Times New Roman"/>
          <w:color w:val="000000" w:themeColor="text1"/>
          <w:sz w:val="32"/>
          <w:szCs w:val="32"/>
          <w:highlight w:val="none"/>
          <w:u w:val="none" w:color="auto"/>
          <w:lang w:val="en-US" w:eastAsia="zh-CN"/>
          <w14:textFill>
            <w14:solidFill>
              <w14:schemeClr w14:val="tx1"/>
            </w14:solidFill>
          </w14:textFill>
        </w:rPr>
        <w:t>持续推进“区招镇管村用”，</w:t>
      </w:r>
      <w:r>
        <w:rPr>
          <w:rFonts w:hint="eastAsia"/>
          <w:highlight w:val="none"/>
          <w:u w:val="none" w:color="auto"/>
          <w:lang w:val="en-US" w:eastAsia="zh-CN"/>
        </w:rPr>
        <w:t>强化乡村医生队伍建设。探索编制池改革，改革卫生健康人才评价体系，发挥薪酬编制对人才队伍建设的正向激励。建强中医药人才队伍，</w:t>
      </w:r>
      <w:r>
        <w:rPr>
          <w:rFonts w:hint="default"/>
          <w:highlight w:val="none"/>
          <w:u w:val="none" w:color="auto"/>
          <w:lang w:val="en-US" w:eastAsia="zh-CN"/>
        </w:rPr>
        <w:t>加强卫生疾控专业技术人才队伍建设。</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1C92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4076088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sz w:val="28"/>
                <w:szCs w:val="28"/>
                <w:highlight w:val="none"/>
                <w:u w:val="none" w:color="auto"/>
                <w:vertAlign w:val="baseline"/>
                <w:lang w:val="en-US" w:eastAsia="zh-CN"/>
              </w:rPr>
            </w:pPr>
            <w:r>
              <w:rPr>
                <w:rFonts w:hint="default" w:ascii="Times New Roman" w:hAnsi="Times New Roman" w:eastAsia="楷体_GB2312" w:cs="Times New Roman"/>
                <w:sz w:val="28"/>
                <w:szCs w:val="28"/>
                <w:highlight w:val="none"/>
                <w:u w:val="none" w:color="auto"/>
                <w:vertAlign w:val="baseline"/>
                <w:lang w:val="en-US" w:eastAsia="zh-CN"/>
              </w:rPr>
              <w:t>专栏5：</w:t>
            </w:r>
            <w:r>
              <w:rPr>
                <w:rFonts w:hint="eastAsia" w:eastAsia="楷体_GB2312" w:cs="Times New Roman"/>
                <w:color w:val="000000" w:themeColor="text1"/>
                <w:sz w:val="28"/>
                <w:szCs w:val="28"/>
                <w:highlight w:val="none"/>
                <w:u w:val="none" w:color="auto"/>
                <w:vertAlign w:val="baseline"/>
                <w:lang w:val="en-US" w:eastAsia="zh-CN"/>
                <w14:textFill>
                  <w14:solidFill>
                    <w14:schemeClr w14:val="tx1"/>
                  </w14:solidFill>
                </w14:textFill>
              </w:rPr>
              <w:t>广州市花都区</w:t>
            </w:r>
            <w:r>
              <w:rPr>
                <w:rFonts w:hint="default" w:ascii="Times New Roman" w:hAnsi="Times New Roman" w:eastAsia="楷体_GB2312" w:cs="Times New Roman"/>
                <w:sz w:val="28"/>
                <w:szCs w:val="28"/>
                <w:highlight w:val="none"/>
                <w:u w:val="none" w:color="auto"/>
                <w:vertAlign w:val="baseline"/>
                <w:lang w:val="en-US" w:eastAsia="zh-CN"/>
              </w:rPr>
              <w:t>“十五五”时期医疗卫生队伍建设</w:t>
            </w:r>
            <w:r>
              <w:rPr>
                <w:rFonts w:hint="eastAsia" w:eastAsia="楷体_GB2312" w:cs="Times New Roman"/>
                <w:sz w:val="28"/>
                <w:szCs w:val="28"/>
                <w:highlight w:val="none"/>
                <w:u w:val="none" w:color="auto"/>
                <w:vertAlign w:val="baseline"/>
                <w:lang w:val="en-US" w:eastAsia="zh-CN"/>
              </w:rPr>
              <w:t>思路</w:t>
            </w:r>
          </w:p>
        </w:tc>
      </w:tr>
      <w:tr w14:paraId="7F55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1D035EE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sz w:val="28"/>
                <w:szCs w:val="28"/>
                <w:highlight w:val="none"/>
                <w:u w:val="none" w:color="auto"/>
                <w:vertAlign w:val="baseline"/>
                <w:lang w:val="en-US" w:eastAsia="zh-CN"/>
              </w:rPr>
            </w:pPr>
            <w:r>
              <w:rPr>
                <w:rFonts w:hint="eastAsia"/>
                <w:sz w:val="28"/>
                <w:szCs w:val="28"/>
                <w:highlight w:val="none"/>
                <w:u w:val="none" w:color="auto"/>
                <w:vertAlign w:val="baseline"/>
                <w:lang w:val="en-US" w:eastAsia="zh-CN"/>
              </w:rPr>
              <w:t>1.区级公立医院人才引进工程：落实《关于加快推进聚才行动的实施意见》《关于打造最优人才综合服务的若干措施》《广州市花都区卫生健康局所属区级公立医院引进急需专业人才方案》，对引进人才给予住房补贴、引进奖励、创新创业支持、科研经费、贡献奖励、子女入学、协调配偶就业等多方面支持，争取五年内引进100名急需专业人才。加大柔性引才力度，通过省级名医工作站、特聘专家和医联体合作等形式，实现技术平移。</w:t>
            </w:r>
          </w:p>
          <w:p w14:paraId="2898336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sz w:val="28"/>
                <w:szCs w:val="28"/>
                <w:highlight w:val="none"/>
                <w:u w:val="none" w:color="auto"/>
                <w:vertAlign w:val="baseline"/>
                <w:lang w:val="en-US" w:eastAsia="zh-CN"/>
              </w:rPr>
            </w:pPr>
            <w:r>
              <w:rPr>
                <w:rFonts w:hint="eastAsia"/>
                <w:sz w:val="28"/>
                <w:szCs w:val="28"/>
                <w:highlight w:val="none"/>
                <w:u w:val="none" w:color="auto"/>
                <w:vertAlign w:val="baseline"/>
                <w:lang w:val="en-US" w:eastAsia="zh-CN"/>
              </w:rPr>
              <w:t>2.“十五五”时期人才重点发展学科类别：产科、骨科、妇科、神经外科、口腔科、感染科、儿科、激光美容科、眼科、内分泌科、急诊医学科、神经内科、医学影像科、临床药学、心血管内科、肿瘤科、脑病科（介入方向）、肾病科、中药学、乳腺外科、心胸外科、颅脑外科、创伤中心、耳鼻喉科、遗传实验室、超声医学科、精神病与精神卫生、呼吸内科、泌尿外科等。</w:t>
            </w:r>
          </w:p>
          <w:p w14:paraId="0D78C6D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sz w:val="28"/>
                <w:szCs w:val="28"/>
                <w:highlight w:val="none"/>
                <w:u w:val="none" w:color="auto"/>
                <w:vertAlign w:val="baseline"/>
                <w:lang w:val="en-US" w:eastAsia="zh-CN"/>
              </w:rPr>
            </w:pPr>
            <w:r>
              <w:rPr>
                <w:rFonts w:hint="eastAsia"/>
                <w:sz w:val="28"/>
                <w:szCs w:val="28"/>
                <w:highlight w:val="none"/>
                <w:u w:val="none" w:color="auto"/>
                <w:vertAlign w:val="baseline"/>
                <w:lang w:val="en-US" w:eastAsia="zh-CN"/>
              </w:rPr>
              <w:t>3.中医药人才队伍建设：开展中医药人才队伍专项招聘、</w:t>
            </w:r>
            <w:r>
              <w:rPr>
                <w:rFonts w:hint="eastAsia"/>
                <w:sz w:val="28"/>
                <w:szCs w:val="28"/>
                <w:highlight w:val="none"/>
                <w:u w:val="none" w:color="auto"/>
                <w:lang w:val="en-US" w:eastAsia="zh-CN"/>
              </w:rPr>
              <w:t>“西学中”转岗培训、中医全科医师培训、中医药适宜技术培训，在各级医疗机构设置中医技师岗位和中医医术确有专长医师岗位，在绩效激励等方面对中西医结合诊疗模式给予倾斜。</w:t>
            </w:r>
          </w:p>
          <w:p w14:paraId="696449A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sz w:val="28"/>
                <w:szCs w:val="28"/>
                <w:highlight w:val="none"/>
                <w:u w:val="none" w:color="auto"/>
                <w:vertAlign w:val="baseline"/>
                <w:lang w:val="en-US" w:eastAsia="zh-CN"/>
              </w:rPr>
            </w:pPr>
            <w:r>
              <w:rPr>
                <w:rFonts w:hint="eastAsia"/>
                <w:sz w:val="28"/>
                <w:szCs w:val="28"/>
                <w:highlight w:val="none"/>
                <w:u w:val="none" w:color="auto"/>
                <w:vertAlign w:val="baseline"/>
                <w:lang w:val="en-US" w:eastAsia="zh-CN"/>
              </w:rPr>
              <w:t>4.基层医疗队伍建设：实施家庭医生倍增计划、“千人百家”淬炼提升工程家庭医生培训。落地港式家庭医生服务，积极争取市级培训名额持续培训港式家庭医生及社区护士。</w:t>
            </w:r>
            <w:r>
              <w:rPr>
                <w:rFonts w:hint="eastAsia"/>
                <w:sz w:val="28"/>
                <w:szCs w:val="28"/>
                <w:highlight w:val="none"/>
                <w:u w:val="none" w:color="auto"/>
                <w:lang w:val="en-US" w:eastAsia="zh-CN"/>
              </w:rPr>
              <w:t>强化乡村医生队伍建设，到2030年，力争乡村医生中执业（助理）医师比例达到80%。</w:t>
            </w:r>
          </w:p>
          <w:p w14:paraId="3746746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sz w:val="28"/>
                <w:szCs w:val="28"/>
                <w:highlight w:val="none"/>
                <w:u w:val="none" w:color="auto"/>
                <w:vertAlign w:val="baseline"/>
                <w:lang w:val="en-US" w:eastAsia="zh-CN"/>
              </w:rPr>
            </w:pPr>
            <w:r>
              <w:rPr>
                <w:rFonts w:hint="eastAsia"/>
                <w:sz w:val="28"/>
                <w:szCs w:val="28"/>
                <w:highlight w:val="none"/>
                <w:u w:val="none" w:color="auto"/>
                <w:vertAlign w:val="baseline"/>
                <w:lang w:val="en-US" w:eastAsia="zh-CN"/>
              </w:rPr>
              <w:t>5.临床医师四个规范化培养：</w:t>
            </w:r>
            <w:r>
              <w:rPr>
                <w:rFonts w:hint="eastAsia"/>
                <w:sz w:val="28"/>
                <w:szCs w:val="28"/>
                <w:highlight w:val="none"/>
                <w:u w:val="none" w:color="auto"/>
                <w:lang w:val="en-US" w:eastAsia="zh-CN"/>
              </w:rPr>
              <w:t>落实住院医师规范化培训制度，推进专科医师规范化培训、公共卫生医师规范化培训工作，广泛开展全科医师规范化培训、转岗培训和再培训，提高临床医师标准化执业水平。</w:t>
            </w:r>
          </w:p>
        </w:tc>
      </w:tr>
    </w:tbl>
    <w:p w14:paraId="7B8D1B2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highlight w:val="none"/>
          <w:u w:val="none" w:color="auto"/>
          <w:lang w:val="en-US" w:eastAsia="zh-CN"/>
        </w:rPr>
      </w:pPr>
      <w:r>
        <w:rPr>
          <w:rFonts w:hint="eastAsia" w:ascii="黑体" w:hAnsi="黑体" w:eastAsia="黑体" w:cs="黑体"/>
          <w:highlight w:val="none"/>
          <w:u w:val="none" w:color="auto"/>
          <w:lang w:val="en-US" w:eastAsia="zh-CN"/>
        </w:rPr>
        <w:t>九、保障措施</w:t>
      </w:r>
    </w:p>
    <w:p w14:paraId="0B43114F">
      <w:pPr>
        <w:pStyle w:val="3"/>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highlight w:val="none"/>
          <w:u w:val="none" w:color="auto"/>
          <w:lang w:val="en-US" w:eastAsia="zh-CN"/>
        </w:rPr>
      </w:pPr>
      <w:bookmarkStart w:id="37" w:name="_Toc24372"/>
      <w:r>
        <w:rPr>
          <w:rFonts w:hint="eastAsia"/>
          <w:highlight w:val="none"/>
          <w:u w:val="none" w:color="auto"/>
          <w:lang w:val="en-US" w:eastAsia="zh-CN"/>
        </w:rPr>
        <w:t>（一）加强组织领导</w:t>
      </w:r>
      <w:bookmarkEnd w:id="37"/>
      <w:r>
        <w:rPr>
          <w:rFonts w:hint="eastAsia"/>
          <w:highlight w:val="none"/>
          <w:u w:val="none" w:color="auto"/>
          <w:lang w:val="en-US" w:eastAsia="zh-CN"/>
        </w:rPr>
        <w:t>。</w:t>
      </w:r>
    </w:p>
    <w:p w14:paraId="64CE9599">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highlight w:val="none"/>
          <w:u w:val="none" w:color="auto"/>
          <w:lang w:val="en-US" w:eastAsia="zh-CN"/>
        </w:rPr>
      </w:pPr>
      <w:r>
        <w:rPr>
          <w:rFonts w:hint="eastAsia"/>
          <w:highlight w:val="none"/>
          <w:u w:val="none" w:color="auto"/>
          <w:lang w:val="en-US" w:eastAsia="zh-CN"/>
        </w:rPr>
        <w:t>坚持党对卫生健康事业的全面领导，贯彻党委领导、政府主导、部门协同、社会参与的工作机制，落实政府主体责任。将健康融入所有政策，强化规划导向和约束作用。落实政府主体责任，建立健全区级协调推进机制，各相关部门按照职责分工抓好落实，合力推进规划落地实施。</w:t>
      </w:r>
    </w:p>
    <w:p w14:paraId="6803B46F">
      <w:pPr>
        <w:pStyle w:val="3"/>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highlight w:val="none"/>
          <w:u w:val="none" w:color="auto"/>
          <w:lang w:val="en-US" w:eastAsia="zh-CN"/>
        </w:rPr>
      </w:pPr>
      <w:bookmarkStart w:id="38" w:name="_Toc27046"/>
      <w:r>
        <w:rPr>
          <w:rFonts w:hint="eastAsia"/>
          <w:highlight w:val="none"/>
          <w:u w:val="none" w:color="auto"/>
          <w:lang w:val="en-US" w:eastAsia="zh-CN"/>
        </w:rPr>
        <w:t>（二）健全投入机制</w:t>
      </w:r>
      <w:bookmarkEnd w:id="38"/>
      <w:r>
        <w:rPr>
          <w:rFonts w:hint="eastAsia"/>
          <w:highlight w:val="none"/>
          <w:u w:val="none" w:color="auto"/>
          <w:lang w:val="en-US" w:eastAsia="zh-CN"/>
        </w:rPr>
        <w:t>。</w:t>
      </w:r>
    </w:p>
    <w:p w14:paraId="158A7099">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highlight w:val="none"/>
          <w:u w:val="none" w:color="auto"/>
          <w:lang w:val="en-US" w:eastAsia="zh-CN"/>
        </w:rPr>
      </w:pPr>
      <w:r>
        <w:rPr>
          <w:rFonts w:hint="eastAsia"/>
          <w:highlight w:val="none"/>
          <w:u w:val="none" w:color="auto"/>
          <w:lang w:val="en-US" w:eastAsia="zh-CN"/>
        </w:rPr>
        <w:t>建立符合花都区区情的稳定可持续的卫生与健康投入机制，落实政府在卫生健康领域基本保障责任。政府投入重点用于支持公共卫生、基层医疗服务和基本医疗保障，并向公立医院改革、人才队伍建设等方面倾斜。完善政府投入为主、社会参与的多元化卫生健康筹资机制，为实现规划目标提供坚实的财政基础。</w:t>
      </w:r>
    </w:p>
    <w:p w14:paraId="3DE97A70">
      <w:pPr>
        <w:pStyle w:val="3"/>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highlight w:val="none"/>
          <w:u w:val="none" w:color="auto"/>
          <w:lang w:val="en-US" w:eastAsia="zh-CN"/>
        </w:rPr>
      </w:pPr>
      <w:bookmarkStart w:id="39" w:name="_Toc4766"/>
      <w:r>
        <w:rPr>
          <w:rFonts w:hint="eastAsia"/>
          <w:highlight w:val="none"/>
          <w:u w:val="none" w:color="auto"/>
          <w:lang w:val="en-US" w:eastAsia="zh-CN"/>
        </w:rPr>
        <w:t>（三）注重宣传引导</w:t>
      </w:r>
      <w:bookmarkEnd w:id="39"/>
      <w:r>
        <w:rPr>
          <w:rFonts w:hint="eastAsia"/>
          <w:highlight w:val="none"/>
          <w:u w:val="none" w:color="auto"/>
          <w:lang w:val="en-US" w:eastAsia="zh-CN"/>
        </w:rPr>
        <w:t>。</w:t>
      </w:r>
    </w:p>
    <w:p w14:paraId="424E5A74">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highlight w:val="none"/>
          <w:u w:val="none" w:color="auto"/>
          <w:lang w:val="en-US" w:eastAsia="zh-CN"/>
        </w:rPr>
      </w:pPr>
      <w:r>
        <w:rPr>
          <w:rFonts w:hint="eastAsia"/>
          <w:highlight w:val="none"/>
          <w:u w:val="none" w:color="auto"/>
          <w:lang w:val="en-US" w:eastAsia="zh-CN"/>
        </w:rPr>
        <w:t>坚持正确的舆论导向，通过多样化的媒体传播手段，强化政策解读，积极回应社会关切的热点问题，广泛凝聚社会共识，提高群众的知晓率和参与度，倡导尊医重卫和理性就医观念，营造全社会关心、理解和支持卫生健康事业的良好氛围。</w:t>
      </w:r>
    </w:p>
    <w:p w14:paraId="7417368F">
      <w:pPr>
        <w:pStyle w:val="3"/>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highlight w:val="none"/>
          <w:u w:val="none" w:color="auto"/>
          <w:lang w:val="en-US" w:eastAsia="zh-CN"/>
        </w:rPr>
      </w:pPr>
      <w:bookmarkStart w:id="40" w:name="_Toc20408"/>
      <w:r>
        <w:rPr>
          <w:rFonts w:hint="eastAsia"/>
          <w:highlight w:val="none"/>
          <w:u w:val="none" w:color="auto"/>
          <w:lang w:val="en-US" w:eastAsia="zh-CN"/>
        </w:rPr>
        <w:t>（四）加强安全保障</w:t>
      </w:r>
      <w:bookmarkEnd w:id="40"/>
      <w:r>
        <w:rPr>
          <w:rFonts w:hint="eastAsia"/>
          <w:highlight w:val="none"/>
          <w:u w:val="none" w:color="auto"/>
          <w:lang w:val="en-US" w:eastAsia="zh-CN"/>
        </w:rPr>
        <w:t>。</w:t>
      </w:r>
    </w:p>
    <w:p w14:paraId="12292984">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default"/>
          <w:highlight w:val="none"/>
          <w:u w:val="none" w:color="auto"/>
          <w:lang w:val="en-US" w:eastAsia="zh-CN"/>
        </w:rPr>
      </w:pPr>
      <w:r>
        <w:rPr>
          <w:rFonts w:hint="eastAsia"/>
          <w:highlight w:val="none"/>
          <w:u w:val="none" w:color="auto"/>
          <w:lang w:val="en-US" w:eastAsia="zh-CN"/>
        </w:rPr>
        <w:t>落实安全生产责任制要求和医疗机构治安保卫规定，加大安全设施建设和投入，加强安全生产、消防安全隐患排查，建立健全卫生健康系统安全生产风险防范体系。畅通信访渠道，落实领导干部下访接访制度。维护卫生健康信息安全，强化患者和医护人员个人信息保护，守护医疗数据安全。稳妥做好风险识别、防控与应对。防范个人极端行为和群体性事件发生，维护行业安全稳定。</w:t>
      </w:r>
    </w:p>
    <w:p w14:paraId="0AB82955">
      <w:pPr>
        <w:pStyle w:val="3"/>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highlight w:val="none"/>
          <w:u w:val="none" w:color="auto"/>
          <w:lang w:val="en-US" w:eastAsia="zh-CN"/>
        </w:rPr>
      </w:pPr>
      <w:bookmarkStart w:id="41" w:name="_Toc32151"/>
      <w:r>
        <w:rPr>
          <w:rFonts w:hint="eastAsia"/>
          <w:highlight w:val="none"/>
          <w:u w:val="none" w:color="auto"/>
          <w:lang w:val="en-US" w:eastAsia="zh-CN"/>
        </w:rPr>
        <w:t>（五）加强监测评估</w:t>
      </w:r>
      <w:bookmarkEnd w:id="41"/>
      <w:r>
        <w:rPr>
          <w:rFonts w:hint="eastAsia"/>
          <w:highlight w:val="none"/>
          <w:u w:val="none" w:color="auto"/>
          <w:lang w:val="en-US" w:eastAsia="zh-CN"/>
        </w:rPr>
        <w:t>。</w:t>
      </w:r>
    </w:p>
    <w:p w14:paraId="230B1CC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highlight w:val="none"/>
          <w:u w:val="none" w:color="auto"/>
          <w:lang w:val="en-US" w:eastAsia="zh-CN"/>
        </w:rPr>
      </w:pPr>
      <w:r>
        <w:rPr>
          <w:rFonts w:hint="eastAsia"/>
          <w:highlight w:val="none"/>
          <w:u w:val="none" w:color="auto"/>
          <w:lang w:val="en-US" w:eastAsia="zh-CN"/>
        </w:rPr>
        <w:t>建立健全监测评价机制，在规划中期和规划末期开展规划实施评估工作，对纳入规划的主要指标、重点任务和重点项目等实施情况按规定程序动态调整优化，促进规划科学有效实施。</w:t>
      </w:r>
    </w:p>
    <w:sectPr>
      <w:footerReference r:id="rId5" w:type="default"/>
      <w:pgSz w:w="11906" w:h="16838"/>
      <w:pgMar w:top="2098" w:right="1474" w:bottom="1984" w:left="1587"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316C2">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14D5B">
                          <w:pPr>
                            <w:pStyle w:val="8"/>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2A14D5B">
                    <w:pPr>
                      <w:pStyle w:val="8"/>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701B7"/>
    <w:rsid w:val="01543C57"/>
    <w:rsid w:val="046A799F"/>
    <w:rsid w:val="073A6181"/>
    <w:rsid w:val="084C17E5"/>
    <w:rsid w:val="09C04F69"/>
    <w:rsid w:val="09EF451D"/>
    <w:rsid w:val="0B4D3CC3"/>
    <w:rsid w:val="0C2333C4"/>
    <w:rsid w:val="0F0E0E6F"/>
    <w:rsid w:val="0F2E42C3"/>
    <w:rsid w:val="0F804EB5"/>
    <w:rsid w:val="0FE02578"/>
    <w:rsid w:val="118828F7"/>
    <w:rsid w:val="12303925"/>
    <w:rsid w:val="17234553"/>
    <w:rsid w:val="18D75D43"/>
    <w:rsid w:val="1B0F4081"/>
    <w:rsid w:val="1BBB222C"/>
    <w:rsid w:val="23C8483D"/>
    <w:rsid w:val="24085E6E"/>
    <w:rsid w:val="25B61F3B"/>
    <w:rsid w:val="25F800E5"/>
    <w:rsid w:val="26E311FD"/>
    <w:rsid w:val="2C862667"/>
    <w:rsid w:val="2D831E43"/>
    <w:rsid w:val="2F063F34"/>
    <w:rsid w:val="2FFA02CF"/>
    <w:rsid w:val="32C103CC"/>
    <w:rsid w:val="339E5CE7"/>
    <w:rsid w:val="33F16F60"/>
    <w:rsid w:val="35BD121C"/>
    <w:rsid w:val="37560DD6"/>
    <w:rsid w:val="3B3C7EBF"/>
    <w:rsid w:val="3C273908"/>
    <w:rsid w:val="3C7511A7"/>
    <w:rsid w:val="3C9746A9"/>
    <w:rsid w:val="40296136"/>
    <w:rsid w:val="402E3245"/>
    <w:rsid w:val="405B19EF"/>
    <w:rsid w:val="40F55A1F"/>
    <w:rsid w:val="426E0B33"/>
    <w:rsid w:val="438773D7"/>
    <w:rsid w:val="47596A1D"/>
    <w:rsid w:val="475C7641"/>
    <w:rsid w:val="4B10671D"/>
    <w:rsid w:val="4C5325B7"/>
    <w:rsid w:val="4EE721D6"/>
    <w:rsid w:val="4EF56854"/>
    <w:rsid w:val="51AC447B"/>
    <w:rsid w:val="52BD6993"/>
    <w:rsid w:val="541C783F"/>
    <w:rsid w:val="54461E48"/>
    <w:rsid w:val="55465DD8"/>
    <w:rsid w:val="570A6B15"/>
    <w:rsid w:val="5A301770"/>
    <w:rsid w:val="5BB13DBD"/>
    <w:rsid w:val="5E4F2F45"/>
    <w:rsid w:val="5E8163C5"/>
    <w:rsid w:val="5F797C86"/>
    <w:rsid w:val="635A7DCF"/>
    <w:rsid w:val="637D3ABD"/>
    <w:rsid w:val="64032968"/>
    <w:rsid w:val="64B746CC"/>
    <w:rsid w:val="69E4550E"/>
    <w:rsid w:val="6A7C0E53"/>
    <w:rsid w:val="6C12006B"/>
    <w:rsid w:val="6D9A27C3"/>
    <w:rsid w:val="6E8B1340"/>
    <w:rsid w:val="71125C03"/>
    <w:rsid w:val="7639215E"/>
    <w:rsid w:val="789948C6"/>
    <w:rsid w:val="7B6411A1"/>
    <w:rsid w:val="7B923965"/>
    <w:rsid w:val="7D904FEB"/>
    <w:rsid w:val="7D9850FF"/>
    <w:rsid w:val="7F1906E6"/>
    <w:rsid w:val="7F855E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bidi w:val="0"/>
      <w:spacing w:line="560" w:lineRule="exact"/>
      <w:jc w:val="left"/>
      <w:outlineLvl w:val="1"/>
    </w:pPr>
    <w:rPr>
      <w:rFonts w:ascii="Times New Roman" w:hAnsi="Times New Roman" w:eastAsia="仿宋_GB2312" w:cs="Times New Roman"/>
      <w:kern w:val="2"/>
      <w:sz w:val="32"/>
      <w:szCs w:val="32"/>
      <w:lang w:val="en-US" w:eastAsia="zh-CN" w:bidi="ar-SA"/>
    </w:rPr>
  </w:style>
  <w:style w:type="paragraph" w:styleId="2">
    <w:name w:val="heading 1"/>
    <w:basedOn w:val="1"/>
    <w:next w:val="1"/>
    <w:qFormat/>
    <w:uiPriority w:val="0"/>
    <w:pPr>
      <w:spacing w:line="560" w:lineRule="exact"/>
      <w:jc w:val="center"/>
      <w:outlineLvl w:val="0"/>
    </w:pPr>
    <w:rPr>
      <w:rFonts w:ascii="黑体" w:hAnsi="黑体" w:eastAsia="黑体" w:cs="黑体"/>
      <w:sz w:val="32"/>
      <w:szCs w:val="32"/>
    </w:rPr>
  </w:style>
  <w:style w:type="paragraph" w:styleId="3">
    <w:name w:val="heading 2"/>
    <w:basedOn w:val="1"/>
    <w:next w:val="1"/>
    <w:unhideWhenUsed/>
    <w:qFormat/>
    <w:uiPriority w:val="0"/>
    <w:rPr>
      <w:rFonts w:ascii="楷体_GB2312" w:hAnsi="楷体_GB2312" w:eastAsia="楷体_GB2312" w:cs="楷体_GB2312"/>
    </w:rPr>
  </w:style>
  <w:style w:type="paragraph" w:styleId="4">
    <w:name w:val="heading 3"/>
    <w:basedOn w:val="1"/>
    <w:next w:val="1"/>
    <w:link w:val="25"/>
    <w:unhideWhenUsed/>
    <w:qFormat/>
    <w:uiPriority w:val="0"/>
    <w:pPr>
      <w:outlineLvl w:val="2"/>
    </w:p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1"/>
    <w:qFormat/>
    <w:uiPriority w:val="0"/>
    <w:pPr>
      <w:spacing w:after="120" w:afterLines="0" w:afterAutospacing="0"/>
    </w:p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2"/>
    <w:next w:val="1"/>
    <w:link w:val="24"/>
    <w:qFormat/>
    <w:uiPriority w:val="0"/>
  </w:style>
  <w:style w:type="paragraph" w:styleId="11">
    <w:name w:val="footnote text"/>
    <w:basedOn w:val="1"/>
    <w:qFormat/>
    <w:uiPriority w:val="0"/>
    <w:pPr>
      <w:snapToGrid w:val="0"/>
      <w:jc w:val="left"/>
    </w:pPr>
    <w:rPr>
      <w:sz w:val="18"/>
    </w:rPr>
  </w:style>
  <w:style w:type="paragraph" w:styleId="12">
    <w:name w:val="toc 2"/>
    <w:basedOn w:val="3"/>
    <w:next w:val="1"/>
    <w:qFormat/>
    <w:uiPriority w:val="0"/>
  </w:style>
  <w:style w:type="paragraph" w:styleId="13">
    <w:name w:val="Normal (Web)"/>
    <w:basedOn w:val="1"/>
    <w:qFormat/>
    <w:uiPriority w:val="0"/>
    <w:rPr>
      <w:sz w:val="24"/>
    </w:rPr>
  </w:style>
  <w:style w:type="paragraph" w:styleId="14">
    <w:name w:val="Title"/>
    <w:basedOn w:val="1"/>
    <w:next w:val="1"/>
    <w:qFormat/>
    <w:uiPriority w:val="0"/>
    <w:pPr>
      <w:jc w:val="center"/>
      <w:outlineLvl w:val="0"/>
    </w:pPr>
    <w:rPr>
      <w:rFonts w:ascii="方正小标宋_GBK" w:hAnsi="方正小标宋_GBK" w:eastAsia="方正小标宋_GBK" w:cs="方正小标宋_GBK"/>
      <w:sz w:val="44"/>
      <w:szCs w:val="44"/>
      <w:lang w:bidi="ar-SA"/>
    </w:rPr>
  </w:style>
  <w:style w:type="paragraph" w:styleId="15">
    <w:name w:val="Body Text First Indent 2"/>
    <w:basedOn w:val="1"/>
    <w:next w:val="6"/>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仿宋_GB2312" w:cs="Times New Roman"/>
      <w:kern w:val="2"/>
      <w:sz w:val="32"/>
      <w:szCs w:val="32"/>
      <w:lang w:val="en-US" w:eastAsia="zh-CN" w:bidi="ar"/>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annotation reference"/>
    <w:basedOn w:val="18"/>
    <w:semiHidden/>
    <w:qFormat/>
    <w:uiPriority w:val="99"/>
    <w:rPr>
      <w:sz w:val="21"/>
      <w:szCs w:val="21"/>
    </w:rPr>
  </w:style>
  <w:style w:type="character" w:styleId="21">
    <w:name w:val="footnote reference"/>
    <w:basedOn w:val="18"/>
    <w:qFormat/>
    <w:uiPriority w:val="0"/>
    <w:rPr>
      <w:vertAlign w:val="superscript"/>
    </w:rPr>
  </w:style>
  <w:style w:type="paragraph" w:customStyle="1" w:styleId="22">
    <w:name w:val="WPSOffice手动目录 1"/>
    <w:qFormat/>
    <w:uiPriority w:val="0"/>
    <w:pPr>
      <w:ind w:leftChars="0"/>
    </w:pPr>
    <w:rPr>
      <w:rFonts w:asciiTheme="minorHAnsi" w:hAnsiTheme="minorHAnsi" w:eastAsiaTheme="minorEastAsia" w:cstheme="minorBidi"/>
      <w:sz w:val="20"/>
      <w:szCs w:val="20"/>
    </w:rPr>
  </w:style>
  <w:style w:type="paragraph" w:customStyle="1" w:styleId="23">
    <w:name w:val="WPSOffice手动目录 2"/>
    <w:qFormat/>
    <w:uiPriority w:val="0"/>
    <w:pPr>
      <w:ind w:leftChars="200"/>
    </w:pPr>
    <w:rPr>
      <w:rFonts w:asciiTheme="minorHAnsi" w:hAnsiTheme="minorHAnsi" w:eastAsiaTheme="minorEastAsia" w:cstheme="minorBidi"/>
      <w:sz w:val="20"/>
      <w:szCs w:val="20"/>
    </w:rPr>
  </w:style>
  <w:style w:type="character" w:customStyle="1" w:styleId="24">
    <w:name w:val="目录 1 Char"/>
    <w:link w:val="10"/>
    <w:qFormat/>
    <w:uiPriority w:val="0"/>
  </w:style>
  <w:style w:type="character" w:customStyle="1" w:styleId="25">
    <w:name w:val="标题 3 Char"/>
    <w:link w:val="4"/>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3908</Words>
  <Characters>4037</Characters>
  <Lines>0</Lines>
  <Paragraphs>0</Paragraphs>
  <TotalTime>61</TotalTime>
  <ScaleCrop>false</ScaleCrop>
  <LinksUpToDate>false</LinksUpToDate>
  <CharactersWithSpaces>4041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2025-07-18T06:38:00Z</dcterms:created>
  <dc:creator>Administrator</dc:creator>
  <cp:lastModifiedBy>江隽乐</cp:lastModifiedBy>
  <cp:lastPrinted>2026-08-10T01:36:00Z</cp:lastPrinted>
  <dcterms:modified xsi:type="dcterms:W3CDTF">2026-08-11T02:29:20Z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eyJoZGlkIjoiYWJlZjI0MjVjMjQ3YWM4MTI4OWRmOTk0ZTQyMzE1ZTAiLCJ1c2VySWQiOiIxNjU3Njk4MDQxIn0=</vt:lpwstr>
  </property>
  <property fmtid="{D5CDD505-2E9C-101B-9397-08002B2CF9AE}" pid="4" name="ICV">
    <vt:lpwstr>D605D0CA39254067B6459C060CEBE42B_13</vt:lpwstr>
  </property>
</Properties>
</file>