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63411">
      <w:pPr>
        <w:spacing w:line="560" w:lineRule="exact"/>
        <w:jc w:val="right"/>
        <w:rPr>
          <w:rFonts w:hint="default" w:ascii="Times New Roman" w:hAnsi="Times New Roman" w:eastAsia="方正小标宋_GBK" w:cs="Times New Roman"/>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129</w:t>
      </w:r>
      <w:r>
        <w:rPr>
          <w:rFonts w:hint="default" w:ascii="Times New Roman" w:hAnsi="Times New Roman" w:eastAsia="仿宋_GB2312" w:cs="Times New Roman"/>
          <w:sz w:val="32"/>
          <w:szCs w:val="32"/>
          <w:highlight w:val="none"/>
          <w:lang w:val="en-US" w:eastAsia="zh-CN"/>
        </w:rPr>
        <w:t>号</w:t>
      </w:r>
    </w:p>
    <w:p w14:paraId="5BB486F0">
      <w:pPr>
        <w:spacing w:line="560" w:lineRule="exact"/>
        <w:jc w:val="center"/>
        <w:rPr>
          <w:rFonts w:hint="default" w:ascii="Times New Roman" w:hAnsi="Times New Roman" w:eastAsia="方正小标宋_GBK" w:cs="Times New Roman"/>
          <w:bCs/>
          <w:color w:val="auto"/>
          <w:sz w:val="44"/>
          <w:szCs w:val="44"/>
        </w:rPr>
      </w:pPr>
    </w:p>
    <w:p w14:paraId="1B46CF84">
      <w:pPr>
        <w:spacing w:line="560" w:lineRule="exact"/>
        <w:jc w:val="center"/>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广东省人民政府关于广州市花都区202</w:t>
      </w:r>
      <w:r>
        <w:rPr>
          <w:rFonts w:hint="eastAsia" w:eastAsia="方正小标宋简体" w:cs="Times New Roman"/>
          <w:bCs/>
          <w:color w:val="auto"/>
          <w:sz w:val="44"/>
          <w:szCs w:val="44"/>
          <w:lang w:val="en-US" w:eastAsia="zh-CN"/>
        </w:rPr>
        <w:t>2</w:t>
      </w:r>
      <w:r>
        <w:rPr>
          <w:rFonts w:hint="default" w:ascii="Times New Roman" w:hAnsi="Times New Roman" w:eastAsia="方正小标宋简体" w:cs="Times New Roman"/>
          <w:bCs/>
          <w:color w:val="auto"/>
          <w:sz w:val="44"/>
          <w:szCs w:val="44"/>
        </w:rPr>
        <w:t>年度</w:t>
      </w:r>
    </w:p>
    <w:p w14:paraId="4A0E0B58">
      <w:pPr>
        <w:spacing w:line="560" w:lineRule="exact"/>
        <w:jc w:val="center"/>
        <w:rPr>
          <w:rFonts w:hint="default" w:ascii="Times New Roman" w:hAnsi="Times New Roman" w:eastAsia="方正小标宋_GBK" w:cs="Times New Roman"/>
          <w:bCs/>
          <w:color w:val="auto"/>
          <w:sz w:val="44"/>
          <w:szCs w:val="44"/>
          <w:u w:val="none"/>
        </w:rPr>
      </w:pPr>
      <w:r>
        <w:rPr>
          <w:rFonts w:hint="default" w:ascii="Times New Roman" w:hAnsi="Times New Roman" w:eastAsia="方正小标宋简体" w:cs="Times New Roman"/>
          <w:bCs/>
          <w:color w:val="auto"/>
          <w:sz w:val="44"/>
          <w:szCs w:val="44"/>
        </w:rPr>
        <w:t>第三十</w:t>
      </w:r>
      <w:r>
        <w:rPr>
          <w:rFonts w:hint="eastAsia" w:eastAsia="方正小标宋简体" w:cs="Times New Roman"/>
          <w:bCs/>
          <w:color w:val="auto"/>
          <w:sz w:val="44"/>
          <w:szCs w:val="44"/>
          <w:lang w:eastAsia="zh-CN"/>
        </w:rPr>
        <w:t>九</w:t>
      </w:r>
      <w:r>
        <w:rPr>
          <w:rFonts w:hint="default" w:ascii="Times New Roman" w:hAnsi="Times New Roman" w:eastAsia="方正小标宋简体" w:cs="Times New Roman"/>
          <w:bCs/>
          <w:color w:val="auto"/>
          <w:sz w:val="44"/>
          <w:szCs w:val="44"/>
        </w:rPr>
        <w:t>批次城镇建设用地</w:t>
      </w:r>
      <w:r>
        <w:rPr>
          <w:rFonts w:hint="default" w:ascii="Times New Roman" w:hAnsi="Times New Roman" w:eastAsia="方正小标宋简体" w:cs="Times New Roman"/>
          <w:bCs/>
          <w:color w:val="auto"/>
          <w:sz w:val="44"/>
          <w:szCs w:val="44"/>
          <w:u w:val="none"/>
        </w:rPr>
        <w:t>的批复</w:t>
      </w:r>
    </w:p>
    <w:p w14:paraId="05C07BAA">
      <w:pPr>
        <w:widowControl/>
        <w:spacing w:line="600" w:lineRule="exact"/>
        <w:jc w:val="center"/>
        <w:textAlignment w:val="baseline"/>
        <w:rPr>
          <w:rFonts w:hint="default" w:ascii="Times New Roman" w:hAnsi="Times New Roman" w:cs="Times New Roman"/>
          <w:b/>
          <w:color w:val="auto"/>
          <w:sz w:val="32"/>
          <w:szCs w:val="32"/>
          <w:u w:val="none"/>
        </w:rPr>
      </w:pPr>
    </w:p>
    <w:p w14:paraId="20303586">
      <w:pPr>
        <w:widowControl/>
        <w:spacing w:line="560" w:lineRule="exact"/>
        <w:jc w:val="left"/>
        <w:textAlignment w:val="baseline"/>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广州市人民政府：</w:t>
      </w:r>
    </w:p>
    <w:p w14:paraId="78949BED">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广州市规划和自然资源局关于审批广州市花都区2022年度第三十九批次城镇建设用地的请示</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穗规划资源</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用地</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报</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auto"/>
          <w:sz w:val="32"/>
          <w:szCs w:val="32"/>
        </w:rPr>
        <w:t>358号</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、《广州市花都区人民政府关于申请广州市花都区2022年度第三十九批次城镇建设用地土地征收的请示》</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花府字</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auto"/>
          <w:sz w:val="32"/>
          <w:szCs w:val="32"/>
        </w:rPr>
        <w:t>68号</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及相关材料已通过审核。根据《中华人民共和国土地管理法》第四十四、四十五、四十六条，批复如下:</w:t>
      </w:r>
    </w:p>
    <w:p w14:paraId="06FF86C3">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一、同意使用0.8050公顷城镇建设用地，即同意你市将花都区狮岭镇军田经济联合社、军田军一、军田军二经济合作社属下的集体农用地0.7753公顷</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耕地0.2125公顷</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转为建设用地，同时使用上述有关村集体建设用地0.0297公顷，以上合计0.8050公顷集体土地一并办理征地手续，上述批准建设用地0.8050公顷由当地人民政府依法依规供应。</w:t>
      </w:r>
    </w:p>
    <w:p w14:paraId="63AE339D">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请你市人民政府负责落实补充耕地。督促补充耕地责任单位认真落实耕地占补平衡，补充数量相等、质量相当的耕地对应核销耕地数量、水田规模和标准粮食产能指标(确认信息编号:440000202322253059)，落实建设占用耕地耕作层土壤剥离利用。</w:t>
      </w:r>
    </w:p>
    <w:p w14:paraId="769590F8">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你市相关不动产登记机构以此办理集体土地所有权注销或变更登记。</w:t>
      </w:r>
    </w:p>
    <w:p w14:paraId="2D4BB5CA">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四、使用土地涉及的耕地占用税等有关税费的收缴或调整，请按有关规定办理。</w:t>
      </w:r>
    </w:p>
    <w:p w14:paraId="61161141">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五、征地批后实施情况和具体项目供地情况须按规定报备。</w:t>
      </w:r>
    </w:p>
    <w:p w14:paraId="2BA3F8FC">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p>
    <w:p w14:paraId="30C54D64">
      <w:pPr>
        <w:widowControl/>
        <w:spacing w:line="600" w:lineRule="exact"/>
        <w:ind w:firstLine="645"/>
        <w:textAlignment w:val="baseline"/>
        <w:rPr>
          <w:rFonts w:hint="eastAsia" w:ascii="Times New Roman" w:hAnsi="Times New Roman" w:eastAsia="仿宋_GB2312" w:cs="Times New Roman"/>
          <w:color w:val="auto"/>
          <w:sz w:val="32"/>
          <w:szCs w:val="32"/>
          <w:lang w:eastAsia="zh-CN"/>
        </w:rPr>
      </w:pPr>
    </w:p>
    <w:p w14:paraId="032DC5A0">
      <w:pPr>
        <w:widowControl/>
        <w:spacing w:line="600" w:lineRule="exact"/>
        <w:ind w:firstLine="5372" w:firstLineChars="17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广东省人民政府</w:t>
      </w:r>
    </w:p>
    <w:p w14:paraId="48F4DA49">
      <w:pPr>
        <w:widowControl/>
        <w:spacing w:line="600" w:lineRule="exact"/>
        <w:ind w:firstLine="645"/>
        <w:jc w:val="center"/>
        <w:textAlignment w:val="baseline"/>
        <w:rPr>
          <w:rFonts w:hint="default" w:ascii="Times New Roman" w:hAnsi="Times New Roman" w:eastAsia="仿宋_GB2312" w:cs="Times New Roman"/>
          <w:color w:val="auto"/>
          <w:sz w:val="32"/>
          <w:szCs w:val="32"/>
        </w:rPr>
      </w:pPr>
      <w:r>
        <w:rPr>
          <w:rFonts w:hint="eastAsia" w:eastAsia="仿宋_GB2312" w:cs="Times New Roman"/>
          <w:color w:val="auto"/>
          <w:kern w:val="2"/>
          <w:sz w:val="32"/>
          <w:szCs w:val="32"/>
          <w:highlight w:val="none"/>
          <w:u w:val="none"/>
          <w:lang w:val="en-US" w:eastAsia="zh-CN" w:bidi="ar-SA"/>
        </w:rPr>
        <w:t xml:space="preserve">                       </w:t>
      </w:r>
      <w:r>
        <w:rPr>
          <w:rFonts w:hint="default"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4</w:t>
      </w:r>
      <w:r>
        <w:rPr>
          <w:rFonts w:hint="default"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8</w:t>
      </w:r>
      <w:r>
        <w:rPr>
          <w:rFonts w:hint="default"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21</w:t>
      </w:r>
      <w:r>
        <w:rPr>
          <w:rFonts w:hint="default" w:ascii="Times New Roman" w:hAnsi="Times New Roman" w:eastAsia="仿宋_GB2312" w:cs="Times New Roman"/>
          <w:color w:val="auto"/>
          <w:sz w:val="32"/>
          <w:szCs w:val="32"/>
        </w:rPr>
        <w:t>日</w:t>
      </w:r>
    </w:p>
    <w:p w14:paraId="65FE5598">
      <w:pPr>
        <w:spacing w:line="560" w:lineRule="exact"/>
        <w:rPr>
          <w:rFonts w:hint="eastAsia" w:ascii="Times New Roman" w:hAnsi="Times New Roman" w:eastAsia="仿宋_GB2312" w:cs="Times New Roman"/>
          <w:color w:val="auto"/>
          <w:lang w:eastAsia="zh-CN"/>
        </w:rPr>
      </w:pPr>
      <w:bookmarkStart w:id="0" w:name="_GoBack"/>
      <w:bookmarkEnd w:id="0"/>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FD3AA">
    <w:pPr>
      <w:pStyle w:val="3"/>
      <w:framePr w:wrap="around" w:vAnchor="text" w:hAnchor="margin" w:xAlign="outside" w:y="1"/>
      <w:rPr>
        <w:rStyle w:val="6"/>
        <w:rFonts w:hint="eastAsia"/>
        <w:sz w:val="28"/>
        <w:szCs w:val="28"/>
      </w:rPr>
    </w:pPr>
    <w:r>
      <w:rPr>
        <w:rStyle w:val="6"/>
        <w:rFonts w:hint="eastAsia"/>
        <w:sz w:val="28"/>
        <w:szCs w:val="28"/>
      </w:rPr>
      <w:t>—</w:t>
    </w: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4</w:t>
    </w:r>
    <w:r>
      <w:rPr>
        <w:sz w:val="28"/>
        <w:szCs w:val="28"/>
      </w:rPr>
      <w:fldChar w:fldCharType="end"/>
    </w:r>
    <w:r>
      <w:rPr>
        <w:rStyle w:val="6"/>
        <w:rFonts w:hint="eastAsia"/>
        <w:sz w:val="28"/>
        <w:szCs w:val="28"/>
      </w:rPr>
      <w:t>—</w:t>
    </w:r>
  </w:p>
  <w:p w14:paraId="718F6D91">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BB52">
    <w:pPr>
      <w:pStyle w:val="3"/>
      <w:framePr w:wrap="around" w:vAnchor="text" w:hAnchor="margin" w:xAlign="outside" w:y="1"/>
      <w:rPr>
        <w:rStyle w:val="6"/>
      </w:rPr>
    </w:pPr>
    <w:r>
      <w:fldChar w:fldCharType="begin"/>
    </w:r>
    <w:r>
      <w:rPr>
        <w:rStyle w:val="6"/>
      </w:rPr>
      <w:instrText xml:space="preserve">PAGE  </w:instrText>
    </w:r>
    <w:r>
      <w:fldChar w:fldCharType="end"/>
    </w:r>
  </w:p>
  <w:p w14:paraId="3257AF2C">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5C27B5"/>
    <w:rsid w:val="0C9920D9"/>
    <w:rsid w:val="0F051FAE"/>
    <w:rsid w:val="0F7B02F4"/>
    <w:rsid w:val="0FE8454D"/>
    <w:rsid w:val="109F6DD2"/>
    <w:rsid w:val="13236B26"/>
    <w:rsid w:val="14E70633"/>
    <w:rsid w:val="15EA2560"/>
    <w:rsid w:val="204B05F8"/>
    <w:rsid w:val="26AD3E24"/>
    <w:rsid w:val="2E6F1820"/>
    <w:rsid w:val="32043682"/>
    <w:rsid w:val="33935FAE"/>
    <w:rsid w:val="34733AF4"/>
    <w:rsid w:val="381E4F28"/>
    <w:rsid w:val="3BBA7AA0"/>
    <w:rsid w:val="3E8770EB"/>
    <w:rsid w:val="407B1783"/>
    <w:rsid w:val="429C3C8E"/>
    <w:rsid w:val="44481963"/>
    <w:rsid w:val="458D3AA7"/>
    <w:rsid w:val="483A73C5"/>
    <w:rsid w:val="4C9C00C8"/>
    <w:rsid w:val="4F3A3A5E"/>
    <w:rsid w:val="4F5579DC"/>
    <w:rsid w:val="4F617A2B"/>
    <w:rsid w:val="506F56B2"/>
    <w:rsid w:val="51C56C38"/>
    <w:rsid w:val="54AD5139"/>
    <w:rsid w:val="555846C7"/>
    <w:rsid w:val="56A7023F"/>
    <w:rsid w:val="579D2DD8"/>
    <w:rsid w:val="59B07162"/>
    <w:rsid w:val="5D265BA5"/>
    <w:rsid w:val="5D293D56"/>
    <w:rsid w:val="5EE0577F"/>
    <w:rsid w:val="6AAD4D9D"/>
    <w:rsid w:val="6D593268"/>
    <w:rsid w:val="770C5427"/>
    <w:rsid w:val="7BC435A7"/>
    <w:rsid w:val="7BF82EAB"/>
    <w:rsid w:val="7D793B7C"/>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2026-08-05T07:10:02Z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