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FB5FB">
      <w:pPr>
        <w:spacing w:line="560" w:lineRule="exact"/>
        <w:jc w:val="right"/>
        <w:rPr>
          <w:rFonts w:hint="default" w:ascii="Times New Roman" w:hAnsi="Times New Roman" w:eastAsia="方正小标宋_GBK" w:cs="Times New Roman"/>
          <w:bCs/>
          <w:color w:val="auto"/>
          <w:sz w:val="44"/>
          <w:szCs w:val="44"/>
        </w:rPr>
      </w:pPr>
      <w:r>
        <w:rPr>
          <w:rFonts w:hint="default" w:ascii="Times New Roman" w:hAnsi="Times New Roman" w:eastAsia="仿宋_GB2312" w:cs="Times New Roman"/>
          <w:sz w:val="32"/>
          <w:szCs w:val="32"/>
          <w:highlight w:val="none"/>
          <w:lang w:val="en-US" w:eastAsia="zh-CN"/>
        </w:rPr>
        <w:t>粤府土审（02）〔2022〕99号</w:t>
      </w:r>
    </w:p>
    <w:p w14:paraId="71319EE6">
      <w:pPr>
        <w:spacing w:line="560" w:lineRule="exact"/>
        <w:jc w:val="center"/>
        <w:rPr>
          <w:rFonts w:hint="default" w:ascii="Times New Roman" w:hAnsi="Times New Roman" w:eastAsia="方正小标宋_GBK" w:cs="Times New Roman"/>
          <w:bCs/>
          <w:color w:val="auto"/>
          <w:sz w:val="44"/>
          <w:szCs w:val="44"/>
        </w:rPr>
      </w:pPr>
    </w:p>
    <w:p w14:paraId="7B1B7EB8">
      <w:pPr>
        <w:spacing w:line="560" w:lineRule="exact"/>
        <w:jc w:val="center"/>
        <w:rPr>
          <w:rFonts w:hint="default" w:ascii="Times New Roman" w:hAnsi="Times New Roman" w:eastAsia="方正小标宋简体" w:cs="Times New Roman"/>
          <w:bCs/>
          <w:color w:val="auto"/>
          <w:sz w:val="44"/>
          <w:szCs w:val="44"/>
        </w:rPr>
      </w:pPr>
      <w:r>
        <w:rPr>
          <w:rFonts w:hint="default" w:ascii="Times New Roman" w:hAnsi="Times New Roman" w:eastAsia="方正小标宋简体" w:cs="Times New Roman"/>
          <w:bCs/>
          <w:color w:val="auto"/>
          <w:sz w:val="44"/>
          <w:szCs w:val="44"/>
        </w:rPr>
        <w:t>广东省人民政府关于广州市花都区2020年度</w:t>
      </w:r>
    </w:p>
    <w:p w14:paraId="0B388136">
      <w:pPr>
        <w:spacing w:line="560" w:lineRule="exact"/>
        <w:jc w:val="center"/>
        <w:rPr>
          <w:rFonts w:hint="default" w:ascii="Times New Roman" w:hAnsi="Times New Roman" w:eastAsia="方正小标宋_GBK" w:cs="Times New Roman"/>
          <w:bCs/>
          <w:color w:val="auto"/>
          <w:sz w:val="44"/>
          <w:szCs w:val="44"/>
          <w:u w:val="none"/>
        </w:rPr>
      </w:pPr>
      <w:r>
        <w:rPr>
          <w:rFonts w:hint="default" w:ascii="Times New Roman" w:hAnsi="Times New Roman" w:eastAsia="方正小标宋简体" w:cs="Times New Roman"/>
          <w:bCs/>
          <w:color w:val="auto"/>
          <w:sz w:val="44"/>
          <w:szCs w:val="44"/>
        </w:rPr>
        <w:t>第三十一批次城镇建设用地</w:t>
      </w:r>
      <w:r>
        <w:rPr>
          <w:rFonts w:hint="default" w:ascii="Times New Roman" w:hAnsi="Times New Roman" w:eastAsia="方正小标宋简体" w:cs="Times New Roman"/>
          <w:bCs/>
          <w:color w:val="auto"/>
          <w:sz w:val="44"/>
          <w:szCs w:val="44"/>
          <w:u w:val="none"/>
        </w:rPr>
        <w:t>的批复</w:t>
      </w:r>
    </w:p>
    <w:p w14:paraId="399F4389">
      <w:pPr>
        <w:widowControl/>
        <w:spacing w:line="600" w:lineRule="exact"/>
        <w:jc w:val="center"/>
        <w:textAlignment w:val="baseline"/>
        <w:rPr>
          <w:rFonts w:hint="default" w:ascii="Times New Roman" w:hAnsi="Times New Roman" w:cs="Times New Roman"/>
          <w:b/>
          <w:color w:val="auto"/>
          <w:sz w:val="32"/>
          <w:szCs w:val="32"/>
          <w:u w:val="none"/>
        </w:rPr>
      </w:pPr>
    </w:p>
    <w:p w14:paraId="00C8E4ED">
      <w:pPr>
        <w:widowControl/>
        <w:spacing w:line="560" w:lineRule="exact"/>
        <w:jc w:val="left"/>
        <w:textAlignment w:val="baseline"/>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广州市人民政府：</w:t>
      </w:r>
    </w:p>
    <w:p w14:paraId="23EE15A4">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《关于审批广州市花都区2020年度第三十一批次城镇建设用地的请示》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穗规划资源</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用地</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报</w:t>
      </w:r>
      <w:r>
        <w:rPr>
          <w:rFonts w:hint="default" w:ascii="Times New Roman" w:hAnsi="Times New Roman" w:eastAsia="仿宋_GB2312" w:cs="Times New Roman"/>
          <w:sz w:val="32"/>
          <w:szCs w:val="32"/>
          <w:highlight w:val="none"/>
          <w:lang w:val="en-US" w:eastAsia="zh-CN"/>
        </w:rPr>
        <w:t>〔2022〕</w:t>
      </w:r>
      <w:r>
        <w:rPr>
          <w:rFonts w:hint="default" w:ascii="Times New Roman" w:hAnsi="Times New Roman" w:eastAsia="仿宋_GB2312" w:cs="Times New Roman"/>
          <w:color w:val="auto"/>
          <w:sz w:val="32"/>
          <w:szCs w:val="32"/>
        </w:rPr>
        <w:t>190号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及相关材料已通过审核。根据《中华人民共和国土地管理法》第四十四、四十五、四十六条的有关规定，批复如下:</w:t>
      </w:r>
    </w:p>
    <w:p w14:paraId="4155884D">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一、同意上报的农用地转用方案和征收土地方案。同意你市将花都区花城街罗仙村二十一经济合作社、罗仙村五经济合作社、三东村三辄第三经济合作社属下的集体农用地0.7252公顷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耕地0.5656公顷、园地0.0719公顷、林地0.0490公顷、其他农用地0.0387公顷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转为建设用地，同时使用上述有关村集体建设用地0.0289公顷，以上合计0.7541公顷集体土地一并办理征收为国有土地手续，上述土地</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合计0.7541公顷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经完善相关手续后依照规划安排作为广州市花都区城镇建设用地。</w:t>
      </w:r>
    </w:p>
    <w:p w14:paraId="0ED58624">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二、同意上报的补充耕地方案。对应核销耕地数量、水田规模和标准粮食产能指标</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确认信息编号:440000202112242047</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，已落实占补平衡。</w:t>
      </w:r>
    </w:p>
    <w:p w14:paraId="56FFED19">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该批次用地在土地利用总体规划中安排为城乡建设用地，供地时土地用途应与土地利用总体规划中的规划安排相符;同时，供地方式、供地规模、供地标准等应严格按照国家和省的有关规定执行，切实做到节约集约用地。</w:t>
      </w:r>
    </w:p>
    <w:p w14:paraId="1CC16366">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四、请你市人民政府督促相关区县按规定发布征收土地公告，依法组织实施征地，切实保障被征地群众生活出路。征地补偿安置不落实的，不得强行使用被征收土地。</w:t>
      </w:r>
    </w:p>
    <w:p w14:paraId="35CA5C62">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五、请你市人民政府督促相关区县按规定发布征收土地公告，依法组织实施征地，切实保障被征地群众生活出路。征地补偿安置不落实的，不得强行使用被征收土地。</w:t>
      </w:r>
    </w:p>
    <w:p w14:paraId="1ED508BD">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六、征地批后实施情况和具体项目供地情况须按规定报备。</w:t>
      </w:r>
    </w:p>
    <w:p w14:paraId="1363CE93">
      <w:pPr>
        <w:widowControl/>
        <w:spacing w:line="600" w:lineRule="exact"/>
        <w:ind w:firstLine="645"/>
        <w:textAlignment w:val="baseline"/>
        <w:rPr>
          <w:rFonts w:hint="default" w:ascii="Times New Roman" w:hAnsi="Times New Roman" w:eastAsia="仿宋_GB2312" w:cs="Times New Roman"/>
          <w:color w:val="auto"/>
          <w:sz w:val="32"/>
          <w:szCs w:val="32"/>
          <w:lang w:eastAsia="zh-CN"/>
        </w:rPr>
      </w:pPr>
    </w:p>
    <w:p w14:paraId="141AADC8">
      <w:pPr>
        <w:widowControl/>
        <w:spacing w:line="600" w:lineRule="exact"/>
        <w:ind w:firstLine="5372" w:firstLineChars="17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广东省人民政府</w:t>
      </w:r>
    </w:p>
    <w:p w14:paraId="67F3FC40">
      <w:pPr>
        <w:widowControl/>
        <w:spacing w:line="600" w:lineRule="exact"/>
        <w:ind w:firstLine="645"/>
        <w:jc w:val="center"/>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2"/>
          <w:sz w:val="32"/>
          <w:szCs w:val="32"/>
          <w:highlight w:val="none"/>
          <w:u w:val="none"/>
          <w:lang w:val="en-US" w:eastAsia="zh-CN" w:bidi="ar-SA"/>
        </w:rPr>
        <w:t xml:space="preserve">                      2022年5月19</w:t>
      </w:r>
      <w:r>
        <w:rPr>
          <w:rFonts w:hint="default" w:ascii="Times New Roman" w:hAnsi="Times New Roman" w:eastAsia="仿宋_GB2312" w:cs="Times New Roman"/>
          <w:color w:val="auto"/>
          <w:sz w:val="32"/>
          <w:szCs w:val="32"/>
        </w:rPr>
        <w:t>日</w:t>
      </w:r>
    </w:p>
    <w:p w14:paraId="75C5DBAD">
      <w:pPr>
        <w:widowControl/>
        <w:spacing w:line="600" w:lineRule="exact"/>
        <w:textAlignment w:val="baseline"/>
        <w:rPr>
          <w:rFonts w:hint="default" w:ascii="Times New Roman" w:hAnsi="Times New Roman" w:eastAsia="仿宋_GB2312" w:cs="Times New Roman"/>
          <w:color w:val="auto"/>
          <w:sz w:val="32"/>
          <w:szCs w:val="32"/>
        </w:rPr>
      </w:pPr>
    </w:p>
    <w:p w14:paraId="1B90F298">
      <w:pPr>
        <w:widowControl/>
        <w:spacing w:line="600" w:lineRule="exact"/>
        <w:textAlignment w:val="baseline"/>
        <w:rPr>
          <w:rFonts w:hint="default" w:ascii="Times New Roman" w:hAnsi="Times New Roman" w:eastAsia="仿宋_GB2312" w:cs="Times New Roman"/>
          <w:color w:val="auto"/>
          <w:sz w:val="32"/>
          <w:szCs w:val="32"/>
        </w:rPr>
      </w:pPr>
    </w:p>
    <w:p w14:paraId="6C56A014">
      <w:pPr>
        <w:widowControl/>
        <w:spacing w:line="600" w:lineRule="exact"/>
        <w:textAlignment w:val="baseline"/>
        <w:rPr>
          <w:rFonts w:hint="default" w:ascii="Times New Roman" w:hAnsi="Times New Roman" w:eastAsia="仿宋_GB2312" w:cs="Times New Roman"/>
          <w:color w:val="auto"/>
          <w:sz w:val="32"/>
          <w:szCs w:val="32"/>
        </w:rPr>
      </w:pPr>
    </w:p>
    <w:p w14:paraId="658900EB">
      <w:pPr>
        <w:widowControl/>
        <w:spacing w:line="600" w:lineRule="exact"/>
        <w:textAlignment w:val="baseline"/>
        <w:rPr>
          <w:rFonts w:hint="default" w:ascii="Times New Roman" w:hAnsi="Times New Roman" w:eastAsia="仿宋_GB2312" w:cs="Times New Roman"/>
          <w:color w:val="auto"/>
          <w:sz w:val="32"/>
          <w:szCs w:val="32"/>
        </w:rPr>
      </w:pPr>
    </w:p>
    <w:p w14:paraId="318ABEC2">
      <w:pPr>
        <w:spacing w:line="560" w:lineRule="exact"/>
        <w:ind w:left="1065" w:leftChars="467" w:hanging="103" w:hangingChars="50"/>
        <w:rPr>
          <w:rFonts w:hint="default" w:ascii="Times New Roman" w:hAnsi="Times New Roman" w:eastAsia="仿宋_GB2312" w:cs="Times New Roman"/>
          <w:color w:val="auto"/>
          <w:lang w:eastAsia="zh-CN"/>
        </w:rPr>
      </w:pPr>
      <w:bookmarkStart w:id="0" w:name="_GoBack"/>
      <w:bookmarkEnd w:id="0"/>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C2002">
    <w:pPr>
      <w:pStyle w:val="3"/>
      <w:framePr w:wrap="around" w:vAnchor="text" w:hAnchor="margin" w:xAlign="outside" w:y="1"/>
      <w:rPr>
        <w:rStyle w:val="6"/>
        <w:rFonts w:hint="eastAsia"/>
        <w:sz w:val="28"/>
        <w:szCs w:val="28"/>
      </w:rPr>
    </w:pPr>
    <w:r>
      <w:rPr>
        <w:rStyle w:val="6"/>
        <w:rFonts w:hint="eastAsia"/>
        <w:sz w:val="28"/>
        <w:szCs w:val="28"/>
      </w:rPr>
      <w:t>—</w:t>
    </w:r>
    <w:r>
      <w:rPr>
        <w:sz w:val="28"/>
        <w:szCs w:val="28"/>
      </w:rPr>
      <w:fldChar w:fldCharType="begin"/>
    </w:r>
    <w:r>
      <w:rPr>
        <w:rStyle w:val="6"/>
        <w:sz w:val="28"/>
        <w:szCs w:val="28"/>
      </w:rPr>
      <w:instrText xml:space="preserve">PAGE  </w:instrText>
    </w:r>
    <w:r>
      <w:rPr>
        <w:sz w:val="28"/>
        <w:szCs w:val="28"/>
      </w:rPr>
      <w:fldChar w:fldCharType="separate"/>
    </w:r>
    <w:r>
      <w:rPr>
        <w:rStyle w:val="6"/>
        <w:sz w:val="28"/>
        <w:szCs w:val="28"/>
      </w:rPr>
      <w:t>4</w:t>
    </w:r>
    <w:r>
      <w:rPr>
        <w:sz w:val="28"/>
        <w:szCs w:val="28"/>
      </w:rPr>
      <w:fldChar w:fldCharType="end"/>
    </w:r>
    <w:r>
      <w:rPr>
        <w:rStyle w:val="6"/>
        <w:rFonts w:hint="eastAsia"/>
        <w:sz w:val="28"/>
        <w:szCs w:val="28"/>
      </w:rPr>
      <w:t>—</w:t>
    </w:r>
  </w:p>
  <w:p w14:paraId="6F0FF479">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ABFC5">
    <w:pPr>
      <w:pStyle w:val="3"/>
      <w:framePr w:wrap="around" w:vAnchor="text" w:hAnchor="margin" w:xAlign="outside" w:y="1"/>
      <w:rPr>
        <w:rStyle w:val="6"/>
      </w:rPr>
    </w:pPr>
    <w:r>
      <w:fldChar w:fldCharType="begin"/>
    </w:r>
    <w:r>
      <w:rPr>
        <w:rStyle w:val="6"/>
      </w:rPr>
      <w:instrText xml:space="preserve">PAGE  </w:instrText>
    </w:r>
    <w:r>
      <w:fldChar w:fldCharType="end"/>
    </w:r>
  </w:p>
  <w:p w14:paraId="22B3AF9F">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55C27B5"/>
    <w:rsid w:val="0C9920D9"/>
    <w:rsid w:val="0F051FAE"/>
    <w:rsid w:val="0F7B02F4"/>
    <w:rsid w:val="0FE8454D"/>
    <w:rsid w:val="109F6DD2"/>
    <w:rsid w:val="116B30F0"/>
    <w:rsid w:val="13236B26"/>
    <w:rsid w:val="15EA2560"/>
    <w:rsid w:val="204B05F8"/>
    <w:rsid w:val="26AD3E24"/>
    <w:rsid w:val="2E6F1820"/>
    <w:rsid w:val="32043682"/>
    <w:rsid w:val="33935FAE"/>
    <w:rsid w:val="34733AF4"/>
    <w:rsid w:val="381E4F28"/>
    <w:rsid w:val="3BBA7AA0"/>
    <w:rsid w:val="3E8770EB"/>
    <w:rsid w:val="407B1783"/>
    <w:rsid w:val="429C3C8E"/>
    <w:rsid w:val="436724ED"/>
    <w:rsid w:val="44481963"/>
    <w:rsid w:val="45DB11A8"/>
    <w:rsid w:val="483A73C5"/>
    <w:rsid w:val="4C9C00C8"/>
    <w:rsid w:val="4E1318F7"/>
    <w:rsid w:val="4F3A3A5E"/>
    <w:rsid w:val="4F5579DC"/>
    <w:rsid w:val="4F617A2B"/>
    <w:rsid w:val="506F56B2"/>
    <w:rsid w:val="51C56C38"/>
    <w:rsid w:val="54AD5139"/>
    <w:rsid w:val="555846C7"/>
    <w:rsid w:val="56A7023F"/>
    <w:rsid w:val="579D2DD8"/>
    <w:rsid w:val="59B07162"/>
    <w:rsid w:val="5D265BA5"/>
    <w:rsid w:val="5D293D56"/>
    <w:rsid w:val="5EE0577F"/>
    <w:rsid w:val="6D593268"/>
    <w:rsid w:val="770C5427"/>
    <w:rsid w:val="7BC435A7"/>
    <w:rsid w:val="7BF82EAB"/>
    <w:rsid w:val="7D793B7C"/>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 w:type="paragraph" w:customStyle="1" w:styleId="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2026-08-03T06:19:33Z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