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54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数字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花都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十五五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规划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》</w:t>
      </w:r>
      <w:r>
        <w:rPr>
          <w:rFonts w:hint="default" w:eastAsia="方正小标宋简体" w:cs="Times New Roman"/>
          <w:color w:val="auto"/>
          <w:sz w:val="44"/>
          <w:szCs w:val="44"/>
          <w:highlight w:val="none"/>
          <w:lang w:val="en-US" w:eastAsia="zh-CN"/>
        </w:rPr>
        <w:t>（公开征求意见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稿</w:t>
      </w:r>
      <w:r>
        <w:rPr>
          <w:rFonts w:hint="default" w:eastAsia="方正小标宋简体" w:cs="Times New Roman"/>
          <w:color w:val="auto"/>
          <w:sz w:val="44"/>
          <w:szCs w:val="44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编制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  <w:t>说明</w:t>
      </w:r>
    </w:p>
    <w:p w14:paraId="04309B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</w:pPr>
      <w:r>
        <w:rPr>
          <w:rFonts w:hint="eastAsia"/>
          <w:color w:val="auto"/>
        </w:rPr>
        <w:t>根据区委、区政府关于“十五五”规划编制工作的统一部署，区政务服务和数据管理局牵头编制了区级重点专项规划《数字花都“十五五”规划》（以下简称《规划》）。现将编制情况说明如下。</w:t>
      </w:r>
    </w:p>
    <w:p w14:paraId="285B3ACC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cs="Times New Roman"/>
          <w:b w:val="0"/>
          <w:bCs/>
          <w:color w:val="auto"/>
          <w:highlight w:val="none"/>
          <w:lang w:val="en-US" w:eastAsia="zh-CN"/>
        </w:rPr>
      </w:pPr>
      <w:r>
        <w:rPr>
          <w:rFonts w:hint="eastAsia" w:cs="Times New Roman"/>
          <w:b w:val="0"/>
          <w:bCs/>
          <w:color w:val="auto"/>
          <w:highlight w:val="none"/>
          <w:lang w:val="en-US" w:eastAsia="zh-CN"/>
        </w:rPr>
        <w:t>一、编制背景</w:t>
      </w:r>
    </w:p>
    <w:p w14:paraId="6D4BA0E2">
      <w:pPr>
        <w:spacing w:line="560" w:lineRule="exact"/>
        <w:ind w:firstLine="640" w:firstLineChars="200"/>
        <w:rPr>
          <w:rFonts w:hint="default"/>
          <w:color w:val="auto"/>
        </w:rPr>
      </w:pPr>
      <w:r>
        <w:rPr>
          <w:rFonts w:hint="default"/>
        </w:rPr>
        <w:t>习近平总书记指出，科学制定和接续实施五年规划，是我们党治国理政一条重要经验，也是中国特色社会主义一个重要政治优势。党的二十届四中全会通过的《中共中央关于制定国民经济和社会发展第十五个五年规划的建议》提出</w:t>
      </w:r>
      <w:r>
        <w:rPr>
          <w:rFonts w:hint="eastAsia"/>
          <w:lang w:eastAsia="zh-CN"/>
        </w:rPr>
        <w:t>“</w:t>
      </w:r>
      <w:r>
        <w:rPr>
          <w:rFonts w:hint="default"/>
        </w:rPr>
        <w:t>深入推进数字中国建设</w:t>
      </w:r>
      <w:r>
        <w:rPr>
          <w:rFonts w:hint="eastAsia"/>
          <w:lang w:eastAsia="zh-CN"/>
        </w:rPr>
        <w:t>”</w:t>
      </w:r>
      <w:r>
        <w:rPr>
          <w:rFonts w:hint="default"/>
        </w:rPr>
        <w:t>，《中华人民共和国国民经济和社会发展第十五个五年规划纲要》</w:t>
      </w:r>
      <w:r>
        <w:rPr>
          <w:rFonts w:hint="default"/>
          <w:lang w:val="en-US" w:eastAsia="zh-CN"/>
        </w:rPr>
        <w:t>将</w:t>
      </w:r>
      <w:r>
        <w:rPr>
          <w:rFonts w:hint="eastAsia"/>
          <w:lang w:val="en-US" w:eastAsia="zh-CN"/>
        </w:rPr>
        <w:t>“</w:t>
      </w:r>
      <w:r>
        <w:rPr>
          <w:rFonts w:hint="default"/>
        </w:rPr>
        <w:t>深入推进数字中国建设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</w:rPr>
        <w:t>提升数智化发展水平</w:t>
      </w:r>
      <w:r>
        <w:rPr>
          <w:rFonts w:hint="eastAsia"/>
          <w:lang w:eastAsia="zh-CN"/>
        </w:rPr>
        <w:t>”</w:t>
      </w:r>
      <w:r>
        <w:rPr>
          <w:rFonts w:hint="default"/>
          <w:lang w:val="en-US" w:eastAsia="zh-CN"/>
        </w:rPr>
        <w:t>单独成篇</w:t>
      </w:r>
      <w:r>
        <w:rPr>
          <w:rFonts w:hint="default"/>
          <w:lang w:eastAsia="zh-CN"/>
        </w:rPr>
        <w:t>，聚焦算力、算法、数据高效供给和数智技术赋能经济社会发展，为未来5年数字中国建设</w:t>
      </w:r>
      <w:r>
        <w:rPr>
          <w:rFonts w:hint="default"/>
        </w:rPr>
        <w:t>指明了前进方向、提供了行动指南。</w:t>
      </w:r>
      <w:r>
        <w:rPr>
          <w:rFonts w:hint="eastAsia"/>
          <w:lang w:eastAsia="zh-CN"/>
        </w:rPr>
        <w:t>《广东省国民经济和社会发展第十五个五年规划纲要》明确“推动人工智能重塑生产生活范式，深化数字广东建设”，</w:t>
      </w:r>
      <w:r>
        <w:rPr>
          <w:rFonts w:hint="eastAsia"/>
          <w:lang w:val="en-US" w:eastAsia="zh-CN"/>
        </w:rPr>
        <w:t>广东省</w:t>
      </w:r>
      <w:r>
        <w:rPr>
          <w:rFonts w:hint="eastAsia"/>
          <w:lang w:eastAsia="zh-CN"/>
        </w:rPr>
        <w:t>提出以“数”“智”双轮驱动，赋能经济社会高质量发展。广州市锚定数字中国标杆城市目标，深入实施数智融合创新行动。</w:t>
      </w:r>
      <w:r>
        <w:rPr>
          <w:rFonts w:hint="default"/>
          <w:color w:val="auto"/>
        </w:rPr>
        <w:t>为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明确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“</w:t>
      </w:r>
      <w:r>
        <w:rPr>
          <w:rFonts w:hint="default" w:cs="Times New Roman"/>
          <w:color w:val="auto"/>
          <w:highlight w:val="none"/>
          <w:lang w:val="en-US" w:eastAsia="zh-CN"/>
        </w:rPr>
        <w:t>十五五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”</w:t>
      </w:r>
      <w:r>
        <w:rPr>
          <w:rFonts w:hint="default" w:cs="Times New Roman"/>
          <w:color w:val="auto"/>
          <w:highlight w:val="none"/>
          <w:lang w:val="en-US" w:eastAsia="zh-CN"/>
        </w:rPr>
        <w:t>时期</w:t>
      </w:r>
      <w:r>
        <w:rPr>
          <w:rFonts w:hint="eastAsia" w:cs="Times New Roman"/>
          <w:color w:val="auto"/>
          <w:highlight w:val="none"/>
          <w:lang w:val="en-US" w:eastAsia="zh-CN"/>
        </w:rPr>
        <w:t>花都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贯彻落实数字</w:t>
      </w:r>
      <w:r>
        <w:rPr>
          <w:rFonts w:hint="eastAsia" w:cs="Times New Roman"/>
          <w:color w:val="auto"/>
          <w:highlight w:val="none"/>
          <w:lang w:val="en-US" w:eastAsia="zh-CN"/>
        </w:rPr>
        <w:t>广东和数字广州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战略部署</w:t>
      </w:r>
      <w:r>
        <w:rPr>
          <w:rFonts w:hint="eastAsia" w:cs="Times New Roman"/>
          <w:color w:val="auto"/>
          <w:highlight w:val="none"/>
          <w:lang w:val="en-US" w:eastAsia="zh-CN"/>
        </w:rPr>
        <w:t>，</w:t>
      </w:r>
      <w:bookmarkStart w:id="0" w:name="_GoBack"/>
      <w:r>
        <w:rPr>
          <w:rFonts w:hint="eastAsia" w:cs="Times New Roman"/>
          <w:color w:val="auto"/>
          <w:highlight w:val="none"/>
          <w:lang w:val="en-US" w:eastAsia="zh-CN"/>
        </w:rPr>
        <w:t>构建协同一体的数字化发展格局，以数字花都建设全面赋能区域高质量发展，</w:t>
      </w:r>
      <w:r>
        <w:rPr>
          <w:rFonts w:hint="eastAsia"/>
          <w:color w:val="auto"/>
          <w:lang w:val="en-US" w:eastAsia="zh-CN"/>
        </w:rPr>
        <w:t>区</w:t>
      </w:r>
      <w:r>
        <w:rPr>
          <w:rFonts w:hint="default" w:cs="Times New Roman"/>
          <w:color w:val="auto"/>
          <w:highlight w:val="none"/>
          <w:lang w:val="en-US" w:eastAsia="zh-CN"/>
        </w:rPr>
        <w:t>政务和数据局</w:t>
      </w:r>
      <w:r>
        <w:rPr>
          <w:rFonts w:hint="eastAsia" w:cs="Times New Roman"/>
          <w:color w:val="auto"/>
          <w:highlight w:val="none"/>
          <w:lang w:val="en-US" w:eastAsia="zh-CN"/>
        </w:rPr>
        <w:t>启动并推进</w:t>
      </w:r>
      <w:r>
        <w:rPr>
          <w:rFonts w:hint="default"/>
          <w:color w:val="auto"/>
        </w:rPr>
        <w:t>《规划》</w:t>
      </w:r>
      <w:r>
        <w:rPr>
          <w:rFonts w:hint="default"/>
          <w:color w:val="auto"/>
          <w:lang w:val="en-US" w:eastAsia="zh-CN"/>
        </w:rPr>
        <w:t>编制工作</w:t>
      </w:r>
      <w:r>
        <w:rPr>
          <w:rFonts w:hint="default"/>
          <w:color w:val="auto"/>
        </w:rPr>
        <w:t>。</w:t>
      </w:r>
    </w:p>
    <w:bookmarkEnd w:id="0"/>
    <w:p w14:paraId="76194ED8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cs="Times New Roman"/>
          <w:b w:val="0"/>
          <w:bCs/>
          <w:color w:val="auto"/>
          <w:highlight w:val="none"/>
          <w:lang w:val="en-US" w:eastAsia="zh-CN"/>
        </w:rPr>
      </w:pPr>
      <w:r>
        <w:rPr>
          <w:rFonts w:hint="default" w:cs="Times New Roman"/>
          <w:b w:val="0"/>
          <w:bCs/>
          <w:color w:val="auto"/>
          <w:highlight w:val="none"/>
          <w:lang w:val="en-US" w:eastAsia="zh-CN"/>
        </w:rPr>
        <w:t>二、编制过程</w:t>
      </w:r>
    </w:p>
    <w:p w14:paraId="4C8067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</w:pPr>
      <w:r>
        <w:rPr>
          <w:rFonts w:hint="default"/>
        </w:rPr>
        <w:t>根据</w:t>
      </w:r>
      <w:r>
        <w:rPr>
          <w:rFonts w:hint="eastAsia"/>
          <w:lang w:val="en-US" w:eastAsia="zh-CN"/>
        </w:rPr>
        <w:t>区</w:t>
      </w:r>
      <w:r>
        <w:rPr>
          <w:rFonts w:hint="default"/>
        </w:rPr>
        <w:t>委、</w:t>
      </w:r>
      <w:r>
        <w:rPr>
          <w:rFonts w:hint="eastAsia"/>
          <w:lang w:val="en-US" w:eastAsia="zh-CN"/>
        </w:rPr>
        <w:t>区</w:t>
      </w:r>
      <w:r>
        <w:rPr>
          <w:rFonts w:hint="default"/>
        </w:rPr>
        <w:t>政府工作部署，</w:t>
      </w:r>
      <w:r>
        <w:rPr>
          <w:rFonts w:hint="eastAsia"/>
          <w:lang w:val="en-US" w:eastAsia="zh-CN"/>
        </w:rPr>
        <w:t>区</w:t>
      </w:r>
      <w:r>
        <w:rPr>
          <w:rFonts w:hint="default"/>
        </w:rPr>
        <w:t>政务和数据局从202</w:t>
      </w:r>
      <w:r>
        <w:rPr>
          <w:rFonts w:hint="eastAsia"/>
          <w:lang w:val="en-US" w:eastAsia="zh-CN"/>
        </w:rPr>
        <w:t>5</w:t>
      </w:r>
      <w:r>
        <w:rPr>
          <w:rFonts w:hint="default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default"/>
        </w:rPr>
        <w:t>月起全面启动《规划》编制工作，局党组高度重视，成立工作专班，组建规划编制组，主要开展了以下工作：</w:t>
      </w:r>
    </w:p>
    <w:p w14:paraId="07970D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/>
        </w:rPr>
      </w:pPr>
      <w:r>
        <w:rPr>
          <w:rFonts w:hint="default"/>
        </w:rPr>
        <w:t>一是深入</w:t>
      </w:r>
      <w:r>
        <w:rPr>
          <w:rFonts w:hint="eastAsia"/>
          <w:lang w:val="en-US" w:eastAsia="zh-CN"/>
        </w:rPr>
        <w:t>学习，把握精神</w:t>
      </w:r>
      <w:r>
        <w:rPr>
          <w:rFonts w:hint="default"/>
        </w:rPr>
        <w:t>。 系统梳理国家和省、市“十五五”规划纲要及数字中国、数字广东、数字广州建设相关上位文件精神，准确把握省委</w:t>
      </w:r>
      <w:r>
        <w:rPr>
          <w:rFonts w:hint="eastAsia"/>
          <w:lang w:eastAsia="zh-CN"/>
        </w:rPr>
        <w:t>“</w:t>
      </w:r>
      <w:r>
        <w:rPr>
          <w:rFonts w:hint="default"/>
        </w:rPr>
        <w:t>1310</w:t>
      </w:r>
      <w:r>
        <w:rPr>
          <w:rFonts w:hint="eastAsia"/>
          <w:lang w:eastAsia="zh-CN"/>
        </w:rPr>
        <w:t>”</w:t>
      </w:r>
      <w:r>
        <w:rPr>
          <w:rFonts w:hint="default"/>
        </w:rPr>
        <w:t>具体部署和市委</w:t>
      </w:r>
      <w:r>
        <w:rPr>
          <w:rFonts w:hint="eastAsia"/>
          <w:lang w:eastAsia="zh-CN"/>
        </w:rPr>
        <w:t>“</w:t>
      </w:r>
      <w:r>
        <w:rPr>
          <w:rFonts w:hint="default"/>
        </w:rPr>
        <w:t>1312</w:t>
      </w:r>
      <w:r>
        <w:rPr>
          <w:rFonts w:hint="eastAsia"/>
          <w:lang w:eastAsia="zh-CN"/>
        </w:rPr>
        <w:t>”</w:t>
      </w:r>
      <w:r>
        <w:rPr>
          <w:rFonts w:hint="default"/>
        </w:rPr>
        <w:t>思路举措，确保规划与上级战略同频共振、有效衔接。</w:t>
      </w:r>
    </w:p>
    <w:p w14:paraId="675771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是广泛调研，摸清现状。面向区发改、工信、政数、交通、公安等20多个部门开展书面调研和座谈调研，梳理各领域数字化建设现状与痛点；走访了区内部份重点企业，收集产业数字化转型诉求与场景落地堵点，夯实规划编制基础。</w:t>
      </w:r>
    </w:p>
    <w:p w14:paraId="0FDC7F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三是多方论证，凝聚共识。形成《规划》初稿后，先后组织了一轮局内研讨和两轮面向区内各部门的征求意见工作。期间，共收集各类修改意见20余条，编制组逐条研究、充分吸纳，对规划内容进行多轮修改完善，确保规划任务与各部门职责的有效衔接，最终形成本次公开征求意见稿。</w:t>
      </w:r>
    </w:p>
    <w:p w14:paraId="7512228B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cs="Times New Roman"/>
          <w:b w:val="0"/>
          <w:bCs/>
          <w:color w:val="auto"/>
          <w:highlight w:val="none"/>
          <w:lang w:val="en-US" w:eastAsia="zh-CN"/>
        </w:rPr>
      </w:pPr>
      <w:r>
        <w:rPr>
          <w:rFonts w:hint="default" w:cs="Times New Roman"/>
          <w:b w:val="0"/>
          <w:bCs/>
          <w:color w:val="auto"/>
          <w:highlight w:val="none"/>
          <w:lang w:val="en-US" w:eastAsia="zh-CN"/>
        </w:rPr>
        <w:t>三、编制思路</w:t>
      </w:r>
    </w:p>
    <w:p w14:paraId="2F4DB9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/>
        </w:rPr>
      </w:pPr>
      <w:r>
        <w:rPr>
          <w:rFonts w:hint="default"/>
        </w:rPr>
        <w:t>《规划》编制总体遵循“承接上位、立足区情、问题导向、特色引领”的思路，重点从以下四个维度展开：</w:t>
      </w:r>
    </w:p>
    <w:p w14:paraId="60C85E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3" w:firstLineChars="200"/>
        <w:jc w:val="both"/>
        <w:textAlignment w:val="auto"/>
        <w:rPr>
          <w:rFonts w:hint="default" w:eastAsia="仿宋_GB2312"/>
          <w:lang w:val="en-US" w:eastAsia="zh-CN"/>
        </w:rPr>
      </w:pPr>
      <w:r>
        <w:rPr>
          <w:rFonts w:hint="default"/>
          <w:b/>
          <w:bCs/>
        </w:rPr>
        <w:t>一是</w:t>
      </w:r>
      <w:r>
        <w:rPr>
          <w:rFonts w:hint="eastAsia"/>
          <w:b/>
          <w:bCs/>
          <w:lang w:val="en-US" w:eastAsia="zh-CN"/>
        </w:rPr>
        <w:t>立足时代方位，系统承接国家省市战略部署。</w:t>
      </w:r>
      <w:r>
        <w:rPr>
          <w:rFonts w:hint="eastAsia"/>
          <w:lang w:val="en-US" w:eastAsia="zh-CN"/>
        </w:rPr>
        <w:t>当前，人工智能大模型、数据要素、智能网联等前沿技术加速迭代，数字化正从“赋能工具”向“重塑范式”跃升。《规划》紧跟数智融合发展趋势，落实国家“十五五”数智化建设部署，对接数字广东“2521”总体架构，呼应广州建设数字中国标杆城市相关要求，将数据与人工智能作为转型双引擎，推动数字花都建设迈向体系化数智融合新阶段。</w:t>
      </w:r>
    </w:p>
    <w:p w14:paraId="69C0CF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3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二是立足区域禀赋，突出花都差异化发展方向。</w:t>
      </w:r>
      <w:r>
        <w:rPr>
          <w:rFonts w:hint="eastAsia"/>
          <w:lang w:val="en-US" w:eastAsia="zh-CN"/>
        </w:rPr>
        <w:t>花都作为广州北部增长极、南方空铁联运枢纽，集聚国家级经开区、临空经济示范区等平台，兼具先进制造业集群与临空产业独特优势。规划紧扣全区战略定位与现代产业体系，聚焦AI +先进制造、数据要素×传统产业、智能网联汽车、低空经济四大主攻方向，依托“空港”试点、广州北算力中心等载体布局特色工程，着力打造辨识度突出的花都数字化发展名片，助力建设粤港澳大湾区北部数智融合高地。</w:t>
      </w:r>
    </w:p>
    <w:p w14:paraId="421379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3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三是坚持问题导向，靶向破解数字化发展瓶颈。</w:t>
      </w:r>
      <w:r>
        <w:rPr>
          <w:rFonts w:hint="eastAsia"/>
          <w:lang w:val="en-US" w:eastAsia="zh-CN"/>
        </w:rPr>
        <w:t>针对传统产业数字化转型动力不足、中小企业转型意愿偏低、数据流通交易生态尚未成熟、AI应用场景碎片化等问题，《规划》围绕发展堵点系统部署任务，精准补齐发展薄弱环节，提升数字化建设整体效能。</w:t>
      </w:r>
    </w:p>
    <w:p w14:paraId="5E16EB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3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四是明晰实施路径，搭建闭环协同发展体系。</w:t>
      </w:r>
      <w:r>
        <w:rPr>
          <w:rFonts w:hint="eastAsia"/>
          <w:lang w:val="en-US" w:eastAsia="zh-CN"/>
        </w:rPr>
        <w:t>规划确立“筑牢底座—激活要素—做强引擎—全域赋能”发展路径。以网络、算力、数据基础设施筑牢底座；以数据要素市场化配置改革激活发展动能；以人工智能核心技术攻关与场景落地打造创新引擎；最终驱动数字经济、数字政府、数字社会的全域数字化转型，实现经济效益与社会效益双向赋能。</w:t>
      </w:r>
    </w:p>
    <w:p w14:paraId="7E884A9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cs="Times New Roman"/>
          <w:b w:val="0"/>
          <w:bCs/>
          <w:color w:val="auto"/>
          <w:highlight w:val="none"/>
          <w:lang w:val="en-US" w:eastAsia="zh-CN"/>
        </w:rPr>
      </w:pPr>
      <w:r>
        <w:rPr>
          <w:rFonts w:hint="default" w:cs="Times New Roman"/>
          <w:b w:val="0"/>
          <w:bCs/>
          <w:color w:val="auto"/>
          <w:highlight w:val="none"/>
          <w:lang w:val="en-US" w:eastAsia="zh-CN"/>
        </w:rPr>
        <w:t>四、主要内容</w:t>
      </w:r>
    </w:p>
    <w:p w14:paraId="3F2F9B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/>
        </w:rPr>
      </w:pPr>
      <w:r>
        <w:rPr>
          <w:rFonts w:hint="default"/>
        </w:rPr>
        <w:t>《规划》共八</w:t>
      </w:r>
      <w:r>
        <w:rPr>
          <w:rFonts w:hint="eastAsia"/>
          <w:lang w:val="en-US" w:eastAsia="zh-CN"/>
        </w:rPr>
        <w:t>章</w:t>
      </w:r>
      <w:r>
        <w:rPr>
          <w:rFonts w:hint="default"/>
        </w:rPr>
        <w:t>，分</w:t>
      </w:r>
      <w:r>
        <w:rPr>
          <w:rFonts w:hint="eastAsia"/>
          <w:lang w:val="en-US" w:eastAsia="zh-CN"/>
        </w:rPr>
        <w:t>五部分</w:t>
      </w:r>
      <w:r>
        <w:rPr>
          <w:rFonts w:hint="default"/>
        </w:rPr>
        <w:t>。</w:t>
      </w:r>
    </w:p>
    <w:p w14:paraId="19F6AD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 w:eastAsia="仿宋_GB2312"/>
          <w:lang w:val="en-US" w:eastAsia="zh-CN"/>
        </w:rPr>
      </w:pPr>
      <w:r>
        <w:rPr>
          <w:rFonts w:hint="default"/>
        </w:rPr>
        <w:t>第一</w:t>
      </w:r>
      <w:r>
        <w:rPr>
          <w:rFonts w:hint="eastAsia"/>
          <w:lang w:val="en-US" w:eastAsia="zh-CN"/>
        </w:rPr>
        <w:t>部分</w:t>
      </w:r>
      <w:r>
        <w:rPr>
          <w:rFonts w:hint="default"/>
        </w:rPr>
        <w:t>为</w:t>
      </w:r>
      <w:r>
        <w:rPr>
          <w:rFonts w:hint="eastAsia"/>
          <w:lang w:val="en-US" w:eastAsia="zh-CN"/>
        </w:rPr>
        <w:t>发展成就与面临形势（第一章）。</w:t>
      </w:r>
      <w:r>
        <w:rPr>
          <w:rFonts w:hint="default"/>
        </w:rPr>
        <w:t>系统总结“十四五”时期我区在</w:t>
      </w:r>
      <w:r>
        <w:rPr>
          <w:rFonts w:hint="eastAsia"/>
          <w:lang w:val="en-US" w:eastAsia="zh-CN"/>
        </w:rPr>
        <w:t>数据</w:t>
      </w:r>
      <w:r>
        <w:rPr>
          <w:rFonts w:hint="default"/>
        </w:rPr>
        <w:t>治理、数实融合、数字政府、数字社会、数字基建五方面取得的核心成就，结合全球数智变革、国家战略落地、湾区协同发展、市区发展使命研判机遇形势，明确加快推进数字花都建设的必要性</w:t>
      </w:r>
      <w:r>
        <w:rPr>
          <w:rFonts w:hint="eastAsia"/>
          <w:lang w:val="en-US" w:eastAsia="zh-CN"/>
        </w:rPr>
        <w:t>。</w:t>
      </w:r>
    </w:p>
    <w:p w14:paraId="4631B9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第二部分为总体要求（第二章）。确立指导思想，坚持以高质量发展为主线，以数据要素和人工智能为双轮驱动的发展策略，提出到</w:t>
      </w:r>
      <w:r>
        <w:rPr>
          <w:rFonts w:hint="default"/>
        </w:rPr>
        <w:t>2030年建成“粤港澳大湾区北部数智融合高地”的总体目标，为全篇确立</w:t>
      </w:r>
      <w:r>
        <w:rPr>
          <w:rFonts w:hint="eastAsia"/>
          <w:lang w:val="en-US" w:eastAsia="zh-CN"/>
        </w:rPr>
        <w:t>基调</w:t>
      </w:r>
      <w:r>
        <w:rPr>
          <w:rFonts w:hint="default"/>
        </w:rPr>
        <w:t>。</w:t>
      </w:r>
    </w:p>
    <w:p w14:paraId="571DA0E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</w:rPr>
        <w:t>第</w:t>
      </w:r>
      <w:r>
        <w:rPr>
          <w:rFonts w:hint="eastAsia"/>
          <w:lang w:val="en-US" w:eastAsia="zh-CN"/>
        </w:rPr>
        <w:t>三部分</w:t>
      </w:r>
      <w:r>
        <w:rPr>
          <w:rFonts w:hint="default"/>
        </w:rPr>
        <w:t>为核心任务（第三至六</w:t>
      </w:r>
      <w:r>
        <w:rPr>
          <w:rFonts w:hint="eastAsia"/>
          <w:lang w:val="en-US" w:eastAsia="zh-CN"/>
        </w:rPr>
        <w:t>章</w:t>
      </w:r>
      <w:r>
        <w:rPr>
          <w:rFonts w:hint="default"/>
        </w:rPr>
        <w:t>）。</w:t>
      </w:r>
      <w:r>
        <w:rPr>
          <w:rFonts w:hint="eastAsia"/>
          <w:lang w:val="en-US" w:eastAsia="zh-CN"/>
        </w:rPr>
        <w:t>重点解决“靠什么发展”和“发展什么”的问题</w:t>
      </w:r>
      <w:r>
        <w:rPr>
          <w:rFonts w:hint="default"/>
        </w:rPr>
        <w:t>。第三</w:t>
      </w:r>
      <w:r>
        <w:rPr>
          <w:rFonts w:hint="eastAsia"/>
          <w:lang w:val="en-US" w:eastAsia="zh-CN"/>
        </w:rPr>
        <w:t>章</w:t>
      </w:r>
      <w:r>
        <w:rPr>
          <w:rFonts w:hint="default"/>
        </w:rPr>
        <w:t>聚焦“筑牢数字底座”，聚焦网络、算力、数据基础设施及城市智能决策中枢，提出有序升级5G-A网络、推进广州北算力中心建设、构建以空港为核心的数据流通体系</w:t>
      </w:r>
      <w:r>
        <w:rPr>
          <w:rFonts w:hint="eastAsia"/>
          <w:lang w:val="en-US" w:eastAsia="zh-CN"/>
        </w:rPr>
        <w:t>等任务</w:t>
      </w:r>
      <w:r>
        <w:rPr>
          <w:rFonts w:hint="default"/>
        </w:rPr>
        <w:t>。第四</w:t>
      </w:r>
      <w:r>
        <w:rPr>
          <w:rFonts w:hint="eastAsia"/>
          <w:lang w:val="en-US" w:eastAsia="zh-CN"/>
        </w:rPr>
        <w:t>章</w:t>
      </w:r>
      <w:r>
        <w:rPr>
          <w:rFonts w:hint="default"/>
        </w:rPr>
        <w:t>聚焦“数据要素市场化改革”，从供给体系、流通交易、价值释放三个环节，</w:t>
      </w:r>
      <w:r>
        <w:rPr>
          <w:rFonts w:hint="eastAsia"/>
          <w:lang w:val="en-US" w:eastAsia="zh-CN"/>
        </w:rPr>
        <w:t>提出</w:t>
      </w:r>
      <w:r>
        <w:rPr>
          <w:rFonts w:hint="default"/>
        </w:rPr>
        <w:t>建设行业可信数据空间、推动数据产品挂牌交易、探索数据资产入表等举措</w:t>
      </w:r>
      <w:r>
        <w:rPr>
          <w:rFonts w:hint="eastAsia"/>
          <w:lang w:val="en-US" w:eastAsia="zh-CN"/>
        </w:rPr>
        <w:t>。</w:t>
      </w:r>
      <w:r>
        <w:rPr>
          <w:rFonts w:hint="default"/>
        </w:rPr>
        <w:t>第五</w:t>
      </w:r>
      <w:r>
        <w:rPr>
          <w:rFonts w:hint="eastAsia"/>
          <w:lang w:val="en-US" w:eastAsia="zh-CN"/>
        </w:rPr>
        <w:t>章</w:t>
      </w:r>
      <w:r>
        <w:rPr>
          <w:rFonts w:hint="default"/>
        </w:rPr>
        <w:t>聚焦“人工智能创新发展”，围绕数据供给、算法模型、技术攻关、全域赋能四个方面，提出建设行业数据集、引育垂类模型、开展“AI+”行动等任务，打造花都数智转型核心引擎。第六部分聚焦“全域转型升级”，</w:t>
      </w:r>
      <w:r>
        <w:rPr>
          <w:rFonts w:hint="eastAsia"/>
          <w:lang w:val="en-US" w:eastAsia="zh-CN"/>
        </w:rPr>
        <w:t>分为数字经济、数字政府、数字社会三大方向，聚焦数字经济、数字政府、数字社会三大领域，部署制造业数智改造、壮大数字产业集群、提升政务服务效能、深化城市治理、建设智慧校园和智慧医疗等重点工程，推进数字城乡融合发展。</w:t>
      </w:r>
    </w:p>
    <w:p w14:paraId="59A1E97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  <w:rPr>
          <w:rFonts w:hint="default"/>
        </w:rPr>
      </w:pPr>
      <w:r>
        <w:rPr>
          <w:rFonts w:hint="default"/>
        </w:rPr>
        <w:t>第</w:t>
      </w:r>
      <w:r>
        <w:rPr>
          <w:rFonts w:hint="eastAsia"/>
          <w:lang w:val="en-US" w:eastAsia="zh-CN"/>
        </w:rPr>
        <w:t>四部分</w:t>
      </w:r>
      <w:r>
        <w:rPr>
          <w:rFonts w:hint="default"/>
        </w:rPr>
        <w:t>为生态优化（第七</w:t>
      </w:r>
      <w:r>
        <w:rPr>
          <w:rFonts w:hint="eastAsia"/>
          <w:lang w:val="en-US" w:eastAsia="zh-CN"/>
        </w:rPr>
        <w:t>章</w:t>
      </w:r>
      <w:r>
        <w:rPr>
          <w:rFonts w:hint="default"/>
        </w:rPr>
        <w:t>）。</w:t>
      </w:r>
      <w:r>
        <w:rPr>
          <w:rFonts w:hint="eastAsia"/>
          <w:lang w:val="en-US" w:eastAsia="zh-CN"/>
        </w:rPr>
        <w:t>从</w:t>
      </w:r>
      <w:r>
        <w:rPr>
          <w:rFonts w:hint="default"/>
        </w:rPr>
        <w:t>营商环境、开源鸿蒙</w:t>
      </w:r>
      <w:r>
        <w:rPr>
          <w:rFonts w:hint="eastAsia"/>
          <w:lang w:val="en-US" w:eastAsia="zh-CN"/>
        </w:rPr>
        <w:t>创新</w:t>
      </w:r>
      <w:r>
        <w:rPr>
          <w:rFonts w:hint="default"/>
        </w:rPr>
        <w:t>生态、</w:t>
      </w:r>
      <w:r>
        <w:rPr>
          <w:rFonts w:hint="eastAsia"/>
          <w:lang w:val="en-US" w:eastAsia="zh-CN"/>
        </w:rPr>
        <w:t>开放合作平台三个层面优化发展环境，提出</w:t>
      </w:r>
      <w:r>
        <w:rPr>
          <w:rFonts w:hint="default"/>
        </w:rPr>
        <w:t>融入广深港澳科创走廊、推进南方枢纽开放合作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探索数据跨境试点</w:t>
      </w:r>
      <w:r>
        <w:rPr>
          <w:rFonts w:hint="default"/>
        </w:rPr>
        <w:t>等举措，构建适宜数字花都发展软环境。</w:t>
      </w:r>
    </w:p>
    <w:p w14:paraId="0EB7A2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jc w:val="both"/>
        <w:textAlignment w:val="auto"/>
      </w:pPr>
      <w:r>
        <w:rPr>
          <w:rFonts w:hint="default"/>
        </w:rPr>
        <w:t>第</w:t>
      </w:r>
      <w:r>
        <w:rPr>
          <w:rFonts w:hint="eastAsia"/>
          <w:lang w:val="en-US" w:eastAsia="zh-CN"/>
        </w:rPr>
        <w:t>五部分</w:t>
      </w:r>
      <w:r>
        <w:rPr>
          <w:rFonts w:hint="default"/>
        </w:rPr>
        <w:t>为保障措施（第八</w:t>
      </w:r>
      <w:r>
        <w:rPr>
          <w:rFonts w:hint="eastAsia"/>
          <w:lang w:val="en-US" w:eastAsia="zh-CN"/>
        </w:rPr>
        <w:t>章</w:t>
      </w:r>
      <w:r>
        <w:rPr>
          <w:rFonts w:hint="default"/>
        </w:rPr>
        <w:t>）。从组织协调、政策支撑、资金保障、人才引育和宣传推广五方面提出</w:t>
      </w:r>
      <w:r>
        <w:rPr>
          <w:rFonts w:hint="eastAsia"/>
          <w:lang w:val="en-US" w:eastAsia="zh-CN"/>
        </w:rPr>
        <w:t>具体保障</w:t>
      </w:r>
      <w:r>
        <w:rPr>
          <w:rFonts w:hint="default"/>
        </w:rPr>
        <w:t>，确保规划有领导、有抓手、有资源、有氛围。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DD4F86A-0C61-49D0-86FC-387EA5246BE6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2632D05-DFD9-41B5-94EC-F98A8037A1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833AAE"/>
    <w:multiLevelType w:val="singleLevel"/>
    <w:tmpl w:val="FC833AAE"/>
    <w:lvl w:ilvl="0" w:tentative="0">
      <w:start w:val="1"/>
      <w:numFmt w:val="chineseCounting"/>
      <w:pStyle w:val="10"/>
      <w:suff w:val="nothing"/>
      <w:lvlText w:val="（%1）"/>
      <w:lvlJc w:val="left"/>
      <w:rPr>
        <w:rFonts w:hint="eastAsia" w:ascii="方正楷体_GBK" w:hAnsi="方正楷体_GBK" w:eastAsia="方正楷体_GBK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96D7D"/>
    <w:rsid w:val="12D72750"/>
    <w:rsid w:val="14436C95"/>
    <w:rsid w:val="21454223"/>
    <w:rsid w:val="24031070"/>
    <w:rsid w:val="297D7269"/>
    <w:rsid w:val="371F0B21"/>
    <w:rsid w:val="37397716"/>
    <w:rsid w:val="52AA076E"/>
    <w:rsid w:val="5537421F"/>
    <w:rsid w:val="58C63116"/>
    <w:rsid w:val="680F45E2"/>
    <w:rsid w:val="68225F0E"/>
    <w:rsid w:val="69E96D7D"/>
    <w:rsid w:val="77AF566A"/>
    <w:rsid w:val="7FC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0" w:beforeAutospacing="0" w:after="0" w:afterAutospacing="0" w:line="560" w:lineRule="exact"/>
      <w:outlineLvl w:val="0"/>
    </w:pPr>
    <w:rPr>
      <w:rFonts w:ascii="Times New Roman" w:hAnsi="Times New Roman" w:eastAsia="黑体"/>
      <w:b/>
      <w:kern w:val="44"/>
      <w:sz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  <w:ind w:firstLine="640" w:firstLineChars="200"/>
    </w:p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样式2"/>
    <w:basedOn w:val="1"/>
    <w:qFormat/>
    <w:uiPriority w:val="0"/>
    <w:pPr>
      <w:ind w:firstLine="640" w:firstLineChars="200"/>
    </w:pPr>
    <w:rPr>
      <w:rFonts w:hint="eastAsia" w:ascii="Calibri" w:hAnsi="Calibri" w:eastAsia="宋体" w:cs="Times New Roman"/>
      <w:sz w:val="21"/>
      <w:szCs w:val="22"/>
    </w:rPr>
  </w:style>
  <w:style w:type="paragraph" w:customStyle="1" w:styleId="10">
    <w:name w:val="样式3"/>
    <w:basedOn w:val="1"/>
    <w:next w:val="4"/>
    <w:qFormat/>
    <w:uiPriority w:val="0"/>
    <w:pPr>
      <w:numPr>
        <w:ilvl w:val="0"/>
        <w:numId w:val="1"/>
      </w:numPr>
      <w:spacing w:line="560" w:lineRule="exact"/>
      <w:ind w:firstLine="640"/>
      <w:jc w:val="both"/>
    </w:pPr>
    <w:rPr>
      <w:rFonts w:hint="eastAsia" w:ascii="方正楷体_GB2312" w:hAnsi="方正楷体_GB2312" w:eastAsia="仿宋_GB2312" w:cs="方正楷体_GB231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2434</Words>
  <Characters>2460</Characters>
  <Lines>0</Lines>
  <Paragraphs>0</Paragraphs>
  <TotalTime>0</TotalTime>
  <ScaleCrop>false</ScaleCrop>
  <LinksUpToDate>false</LinksUpToDate>
  <CharactersWithSpaces>2463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2026-07-28T10:31:00Z</dcterms:created>
  <dc:creator>lemon鹿</dc:creator>
  <cp:lastModifiedBy>罗新荣</cp:lastModifiedBy>
  <dcterms:modified xsi:type="dcterms:W3CDTF">2026-07-30T10:01:11Z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B974EAAE75CB404B9E5FED14FDA47BAF_13</vt:lpwstr>
  </property>
  <property fmtid="{D5CDD505-2E9C-101B-9397-08002B2CF9AE}" pid="4" name="KSOTemplateDocerSaveRecord">
    <vt:lpwstr>eyJoZGlkIjoiZDA3YzMwM2E0OTY1OTM5MmI4YWFlOTIyMmI3MzZkNDciLCJ1c2VySWQiOiIxNjg1MzUxNTQ1In0=</vt:lpwstr>
  </property>
</Properties>
</file>