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1609F">
      <w:pPr>
        <w:snapToGrid w:val="0"/>
        <w:spacing w:line="360" w:lineRule="auto"/>
        <w:jc w:val="both"/>
        <w:rPr>
          <w:rFonts w:hint="default" w:ascii="Times New Roman" w:hAnsi="Times New Roman" w:eastAsia="方正仿宋_GB2312" w:cs="Times New Roman"/>
          <w:b/>
          <w:bCs/>
          <w:color w:val="000000" w:themeColor="text1"/>
          <w:sz w:val="84"/>
          <w:szCs w:val="84"/>
          <w14:textFill>
            <w14:solidFill>
              <w14:schemeClr w14:val="tx1"/>
            </w14:solidFill>
          </w14:textFill>
        </w:rPr>
      </w:pPr>
    </w:p>
    <w:p w14:paraId="13A471CE">
      <w:pPr>
        <w:snapToGrid w:val="0"/>
        <w:spacing w:line="360" w:lineRule="auto"/>
        <w:jc w:val="center"/>
        <w:rPr>
          <w:rFonts w:hint="default" w:ascii="Times New Roman" w:hAnsi="Times New Roman" w:eastAsia="方正仿宋_GB2312" w:cs="Times New Roman"/>
          <w:b/>
          <w:bCs/>
          <w:color w:val="000000" w:themeColor="text1"/>
          <w:sz w:val="84"/>
          <w:szCs w:val="84"/>
          <w14:textFill>
            <w14:solidFill>
              <w14:schemeClr w14:val="tx1"/>
            </w14:solidFill>
          </w14:textFill>
        </w:rPr>
      </w:pPr>
    </w:p>
    <w:p w14:paraId="26AEAE99">
      <w:pPr>
        <w:snapToGrid w:val="0"/>
        <w:spacing w:line="360" w:lineRule="auto"/>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数字花都“十五五”规划</w:t>
      </w:r>
    </w:p>
    <w:p w14:paraId="166CF75B">
      <w:pPr>
        <w:snapToGrid w:val="0"/>
        <w:spacing w:line="360" w:lineRule="auto"/>
        <w:jc w:val="center"/>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w:t>
      </w:r>
      <w:r>
        <w:rPr>
          <w:rFonts w:hint="eastAsia" w:ascii="Times New Roman" w:hAnsi="Times New Roman" w:eastAsia="方正小标宋简体" w:cs="Times New Roman"/>
          <w:color w:val="000000" w:themeColor="text1"/>
          <w:sz w:val="36"/>
          <w:szCs w:val="36"/>
          <w:lang w:val="en-US" w:eastAsia="zh-CN"/>
          <w14:textFill>
            <w14:solidFill>
              <w14:schemeClr w14:val="tx1"/>
            </w14:solidFill>
          </w14:textFill>
        </w:rPr>
        <w:t>公众征求</w:t>
      </w:r>
      <w:r>
        <w:rPr>
          <w:rFonts w:hint="default" w:ascii="Times New Roman" w:hAnsi="Times New Roman" w:eastAsia="方正小标宋简体" w:cs="Times New Roman"/>
          <w:color w:val="000000" w:themeColor="text1"/>
          <w:sz w:val="36"/>
          <w:szCs w:val="36"/>
          <w14:textFill>
            <w14:solidFill>
              <w14:schemeClr w14:val="tx1"/>
            </w14:solidFill>
          </w14:textFill>
        </w:rPr>
        <w:t>意见稿）</w:t>
      </w:r>
    </w:p>
    <w:p w14:paraId="6D5A1461">
      <w:pPr>
        <w:snapToGrid w:val="0"/>
        <w:spacing w:line="360" w:lineRule="auto"/>
        <w:jc w:val="both"/>
        <w:rPr>
          <w:rFonts w:hint="default" w:ascii="Times New Roman" w:hAnsi="Times New Roman" w:eastAsia="方正小标宋简体" w:cs="Times New Roman"/>
          <w:color w:val="000000" w:themeColor="text1"/>
          <w:sz w:val="52"/>
          <w:szCs w:val="52"/>
          <w14:textFill>
            <w14:solidFill>
              <w14:schemeClr w14:val="tx1"/>
            </w14:solidFill>
          </w14:textFill>
        </w:rPr>
      </w:pPr>
    </w:p>
    <w:p w14:paraId="33CCC187">
      <w:pPr>
        <w:snapToGrid w:val="0"/>
        <w:spacing w:line="360" w:lineRule="auto"/>
        <w:rPr>
          <w:rFonts w:hint="default" w:ascii="Times New Roman" w:hAnsi="Times New Roman" w:eastAsia="方正小标宋简体" w:cs="Times New Roman"/>
          <w:color w:val="000000" w:themeColor="text1"/>
          <w:sz w:val="52"/>
          <w:szCs w:val="52"/>
          <w14:textFill>
            <w14:solidFill>
              <w14:schemeClr w14:val="tx1"/>
            </w14:solidFill>
          </w14:textFill>
        </w:rPr>
      </w:pPr>
    </w:p>
    <w:p w14:paraId="51292E49">
      <w:pPr>
        <w:snapToGrid w:val="0"/>
        <w:spacing w:line="360" w:lineRule="auto"/>
        <w:rPr>
          <w:rFonts w:hint="default" w:ascii="Times New Roman" w:hAnsi="Times New Roman" w:eastAsia="方正小标宋简体" w:cs="Times New Roman"/>
          <w:color w:val="000000" w:themeColor="text1"/>
          <w:sz w:val="52"/>
          <w:szCs w:val="52"/>
          <w14:textFill>
            <w14:solidFill>
              <w14:schemeClr w14:val="tx1"/>
            </w14:solidFill>
          </w14:textFill>
        </w:rPr>
      </w:pPr>
    </w:p>
    <w:p w14:paraId="33E182FB">
      <w:pPr>
        <w:snapToGrid w:val="0"/>
        <w:spacing w:line="360" w:lineRule="auto"/>
        <w:rPr>
          <w:rFonts w:hint="default" w:ascii="Times New Roman" w:hAnsi="Times New Roman" w:eastAsia="方正小标宋简体" w:cs="Times New Roman"/>
          <w:color w:val="000000" w:themeColor="text1"/>
          <w:sz w:val="52"/>
          <w:szCs w:val="52"/>
          <w14:textFill>
            <w14:solidFill>
              <w14:schemeClr w14:val="tx1"/>
            </w14:solidFill>
          </w14:textFill>
        </w:rPr>
      </w:pPr>
    </w:p>
    <w:p w14:paraId="6D6AB691">
      <w:pPr>
        <w:snapToGrid w:val="0"/>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14:paraId="31EABB48">
      <w:pPr>
        <w:snapToGrid w:val="0"/>
        <w:spacing w:line="360" w:lineRule="auto"/>
        <w:jc w:val="center"/>
        <w:rPr>
          <w:rFonts w:hint="default" w:ascii="Times New Roman" w:hAnsi="Times New Roman" w:eastAsia="方正小标宋简体" w:cs="Times New Roman"/>
          <w:color w:val="000000" w:themeColor="text1"/>
          <w:sz w:val="36"/>
          <w:szCs w:val="36"/>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r>
        <w:rPr>
          <w:rFonts w:hint="default" w:ascii="Times New Roman" w:hAnsi="Times New Roman" w:eastAsia="方正小标宋简体" w:cs="Times New Roman"/>
          <w:color w:val="000000" w:themeColor="text1"/>
          <w:sz w:val="36"/>
          <w:szCs w:val="36"/>
          <w14:textFill>
            <w14:solidFill>
              <w14:schemeClr w14:val="tx1"/>
            </w14:solidFill>
          </w14:textFill>
        </w:rPr>
        <w:t>2026年</w:t>
      </w:r>
      <w:r>
        <w:rPr>
          <w:rFonts w:hint="eastAsia" w:ascii="Times New Roman" w:hAnsi="Times New Roman" w:eastAsia="方正小标宋简体" w:cs="Times New Roman"/>
          <w:color w:val="000000" w:themeColor="text1"/>
          <w:sz w:val="36"/>
          <w:szCs w:val="36"/>
          <w:lang w:val="en-US" w:eastAsia="zh-CN"/>
          <w14:textFill>
            <w14:solidFill>
              <w14:schemeClr w14:val="tx1"/>
            </w14:solidFill>
          </w14:textFill>
        </w:rPr>
        <w:t>8</w:t>
      </w:r>
      <w:r>
        <w:rPr>
          <w:rFonts w:hint="default" w:ascii="Times New Roman" w:hAnsi="Times New Roman" w:eastAsia="方正小标宋简体" w:cs="Times New Roman"/>
          <w:color w:val="000000" w:themeColor="text1"/>
          <w:sz w:val="36"/>
          <w:szCs w:val="36"/>
          <w14:textFill>
            <w14:solidFill>
              <w14:schemeClr w14:val="tx1"/>
            </w14:solidFill>
          </w14:textFill>
        </w:rPr>
        <w:t>月</w:t>
      </w:r>
    </w:p>
    <w:p w14:paraId="151F947F">
      <w:pPr>
        <w:snapToGrid w:val="0"/>
        <w:spacing w:line="360" w:lineRule="auto"/>
        <w:jc w:val="both"/>
        <w:rPr>
          <w:rFonts w:hint="default" w:ascii="Times New Roman" w:hAnsi="Times New Roman" w:eastAsia="方正仿宋_GB2312" w:cs="Times New Roman"/>
          <w:b/>
          <w:bCs/>
          <w:color w:val="000000" w:themeColor="text1"/>
          <w:sz w:val="72"/>
          <w:szCs w:val="72"/>
          <w14:textFill>
            <w14:solidFill>
              <w14:schemeClr w14:val="tx1"/>
            </w14:solidFill>
          </w14:textFill>
        </w:rPr>
      </w:pPr>
    </w:p>
    <w:sdt>
      <w:sdtPr>
        <w:rPr>
          <w:rFonts w:hint="default" w:ascii="Times New Roman" w:hAnsi="Times New Roman" w:eastAsia="黑体" w:cs="Times New Roman"/>
          <w:color w:val="000000" w:themeColor="text1"/>
          <w:sz w:val="28"/>
          <w:szCs w:val="28"/>
          <w14:textFill>
            <w14:solidFill>
              <w14:schemeClr w14:val="tx1"/>
            </w14:solidFill>
          </w14:textFill>
        </w:rPr>
        <w:id w:val="147456520"/>
        <w15:color w:val="DBDBDB"/>
        <w:docPartObj>
          <w:docPartGallery w:val="Table of Contents"/>
          <w:docPartUnique/>
        </w:docPartObj>
      </w:sdtPr>
      <w:sdtEndPr>
        <w:rPr>
          <w:rFonts w:hint="default" w:ascii="Times New Roman" w:hAnsi="Times New Roman" w:eastAsia="黑体" w:cs="Times New Roman"/>
          <w:color w:val="000000" w:themeColor="text1"/>
          <w:sz w:val="28"/>
          <w:szCs w:val="28"/>
          <w14:textFill>
            <w14:solidFill>
              <w14:schemeClr w14:val="tx1"/>
            </w14:solidFill>
          </w14:textFill>
        </w:rPr>
      </w:sdtEndPr>
      <w:sdtContent>
        <w:p w14:paraId="77908FB8">
          <w:pPr>
            <w:spacing w:line="360" w:lineRule="auto"/>
            <w:jc w:val="both"/>
            <w:rPr>
              <w:rFonts w:hint="default" w:ascii="Times New Roman" w:hAnsi="Times New Roman" w:eastAsia="黑体" w:cs="Times New Roman"/>
              <w:color w:val="000000" w:themeColor="text1"/>
              <w:sz w:val="28"/>
              <w:szCs w:val="28"/>
              <w14:textFill>
                <w14:solidFill>
                  <w14:schemeClr w14:val="tx1"/>
                </w14:solidFill>
              </w14:textFill>
            </w:rPr>
            <w:sectPr>
              <w:footerReference r:id="rId4" w:type="default"/>
              <w:pgSz w:w="11906" w:h="16838"/>
              <w:pgMar w:top="1440" w:right="1800" w:bottom="1440" w:left="1800" w:header="851" w:footer="992" w:gutter="0"/>
              <w:cols w:space="425" w:num="1"/>
              <w:docGrid w:type="lines" w:linePitch="312" w:charSpace="0"/>
            </w:sectPr>
          </w:pPr>
        </w:p>
        <w:p w14:paraId="7FE67FE6">
          <w:pPr>
            <w:spacing w:line="360" w:lineRule="auto"/>
            <w:jc w:val="center"/>
            <w:rPr>
              <w:rFonts w:hint="default" w:ascii="Times New Roman" w:hAnsi="Times New Roman" w:eastAsia="黑体" w:cs="Times New Roman"/>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14:textFill>
                <w14:solidFill>
                  <w14:schemeClr w14:val="tx1"/>
                </w14:solidFill>
              </w14:textFill>
            </w:rPr>
            <w:t>目</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28"/>
              <w:szCs w:val="28"/>
              <w14:textFill>
                <w14:solidFill>
                  <w14:schemeClr w14:val="tx1"/>
                </w14:solidFill>
              </w14:textFill>
            </w:rPr>
            <w:t>录</w:t>
          </w:r>
        </w:p>
        <w:p w14:paraId="4123A500">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color w:val="000000" w:themeColor="text1"/>
              <w:sz w:val="28"/>
              <w:szCs w:val="28"/>
              <w14:textFill>
                <w14:solidFill>
                  <w14:schemeClr w14:val="tx1"/>
                </w14:solidFill>
              </w14:textFill>
            </w:rPr>
            <w:instrText xml:space="preserve">TOC \o "1-2" \h \u </w:instrText>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separate"/>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_Toc22469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rPr>
            <w:t>一、发展成就与面临形势</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_Toc22469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7480A18A">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_Toc29012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（一）发展成就</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_Toc29012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658870B5">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_Toc17462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w:t>
          </w:r>
          <w:r>
            <w:rPr>
              <w:rFonts w:hint="default" w:ascii="Times New Roman" w:hAnsi="Times New Roman" w:eastAsia="楷体" w:cs="Times New Roman"/>
              <w:sz w:val="28"/>
              <w:szCs w:val="28"/>
              <w:lang w:val="en-US" w:eastAsia="zh-CN"/>
            </w:rPr>
            <w:t>二</w:t>
          </w:r>
          <w:r>
            <w:rPr>
              <w:rFonts w:hint="default" w:ascii="Times New Roman" w:hAnsi="Times New Roman" w:eastAsia="楷体" w:cs="Times New Roman"/>
              <w:sz w:val="28"/>
              <w:szCs w:val="28"/>
            </w:rPr>
            <w:t>）面临形势</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_Toc17462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4AD9B262">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_Toc2770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rPr>
            <w:t>二、总体要求</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_Toc2770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4FA7175D">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_Toc24418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lang w:val="en-US" w:eastAsia="zh-CN"/>
            </w:rPr>
            <w:t>三、筑牢</w:t>
          </w:r>
          <w:r>
            <w:rPr>
              <w:rFonts w:hint="default" w:ascii="Times New Roman" w:hAnsi="Times New Roman" w:eastAsia="黑体" w:cs="Times New Roman"/>
              <w:sz w:val="28"/>
              <w:szCs w:val="28"/>
            </w:rPr>
            <w:t>数字花都发展基础底座</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_Toc24418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00DE9106">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_Toc30197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（一）持续升级网络基础设施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_Toc30197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07C738EC">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_Toc3367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（二）统筹布局算力基础设施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_Toc3367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0B39C5E2">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_Toc12227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（三）强化数据基础设施建设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_Toc12227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11B8DCB1">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_Toc25732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（四）建设融合应用基础设施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_Toc25732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2D146B2F">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_Toc12529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（五）构建城市智能决策中枢</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_Toc12529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6AE48FFC">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_Toc2636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w:t>
          </w:r>
          <w:r>
            <w:rPr>
              <w:rFonts w:hint="default" w:ascii="Times New Roman" w:hAnsi="Times New Roman" w:eastAsia="楷体" w:cs="Times New Roman"/>
              <w:sz w:val="28"/>
              <w:szCs w:val="28"/>
              <w:lang w:val="en-US" w:eastAsia="zh-CN"/>
            </w:rPr>
            <w:t>六</w:t>
          </w:r>
          <w:r>
            <w:rPr>
              <w:rFonts w:hint="default" w:ascii="Times New Roman" w:hAnsi="Times New Roman" w:eastAsia="楷体" w:cs="Times New Roman"/>
              <w:sz w:val="28"/>
              <w:szCs w:val="28"/>
            </w:rPr>
            <w:t>）构</w:t>
          </w:r>
          <w:r>
            <w:rPr>
              <w:rFonts w:hint="default" w:ascii="Times New Roman" w:hAnsi="Times New Roman" w:eastAsia="楷体" w:cs="Times New Roman"/>
              <w:sz w:val="28"/>
              <w:szCs w:val="28"/>
              <w:lang w:val="en-US" w:eastAsia="zh-CN"/>
            </w:rPr>
            <w:t>建可信数字安全屏障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_Toc2636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20E76EBB">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_Toc1609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lang w:val="en-US" w:eastAsia="zh-CN"/>
            </w:rPr>
            <w:t>四、</w:t>
          </w:r>
          <w:r>
            <w:rPr>
              <w:rFonts w:hint="default" w:ascii="Times New Roman" w:hAnsi="Times New Roman" w:eastAsia="黑体" w:cs="Times New Roman"/>
              <w:sz w:val="28"/>
              <w:szCs w:val="28"/>
            </w:rPr>
            <w:t>深化数据要素市场化配置改革</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_Toc1609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7344E87E">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_Toc28243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（一）构建数据资源供给体系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_Toc28243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396867CB">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_Toc1440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（二）推动数据要素流通交易</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_Toc1440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7D894A13">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_Toc26412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（三）深化数据要素价值释放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_Toc26412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23616437">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_Toc19230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lang w:val="en-US" w:eastAsia="zh-CN"/>
            </w:rPr>
            <w:t>五、</w:t>
          </w:r>
          <w:r>
            <w:rPr>
              <w:rFonts w:hint="default" w:ascii="Times New Roman" w:hAnsi="Times New Roman" w:eastAsia="黑体" w:cs="Times New Roman"/>
              <w:sz w:val="28"/>
              <w:szCs w:val="28"/>
            </w:rPr>
            <w:t>推动人工智能创新发展与赋能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_Toc19230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648D8194">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_Toc18611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（一）加强人工智能数据供给</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_Toc18611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3051839C">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_Toc18982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（二）推动算法模型创新发展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_Toc18982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0504512D">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_Toc13294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（三）聚力关键核心技术攻关</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_Toc13294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44E3FC8C">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_Toc22049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（四）促进人工智能全域赋能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_Toc22049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2D38A556">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_Toc4887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lang w:val="en-US" w:eastAsia="zh-CN"/>
            </w:rPr>
            <w:t>六、强化数智赋能驱动全域转型升级</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_Toc4887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2D5A44EE">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_Toc27381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lang w:val="en-US" w:eastAsia="zh-CN"/>
            </w:rPr>
            <w:t>（一）培育富有活力数字经济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_Toc27381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44F27D8D">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_Toc2761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二</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打造高效协同数字政府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_Toc2761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74A10308">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_Toc31224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三</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构建普惠便捷数字社会</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_Toc31224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64D3B1D7">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_Toc12698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lang w:val="en-US" w:eastAsia="zh-CN"/>
            </w:rPr>
            <w:t>七</w:t>
          </w:r>
          <w:r>
            <w:rPr>
              <w:rFonts w:hint="default" w:ascii="Times New Roman" w:hAnsi="Times New Roman" w:eastAsia="黑体" w:cs="Times New Roman"/>
              <w:sz w:val="28"/>
              <w:szCs w:val="28"/>
            </w:rPr>
            <w:t>、优化数字花都发展生态</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_Toc12698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5E38623F">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_Toc26515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（一）优化产业发展营商环境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_Toc26515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496FC09A">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_Toc10683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（二）培育协同开放创新生态</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_Toc10683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18012840">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_Toc1785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（三）构建数字开放合作平台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_Toc1785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1BE70A3D">
          <w:pPr>
            <w:pStyle w:val="10"/>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_Toc21580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黑体" w:cs="Times New Roman"/>
              <w:sz w:val="28"/>
              <w:szCs w:val="28"/>
              <w:lang w:val="en-US" w:eastAsia="zh-CN"/>
            </w:rPr>
            <w:t>八</w:t>
          </w:r>
          <w:r>
            <w:rPr>
              <w:rFonts w:hint="default" w:ascii="Times New Roman" w:hAnsi="Times New Roman" w:eastAsia="黑体" w:cs="Times New Roman"/>
              <w:sz w:val="28"/>
              <w:szCs w:val="28"/>
            </w:rPr>
            <w:t>、保障措施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_Toc21580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3D86AC05">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_Toc3230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（一）强化组织保障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53845985">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_Toc21630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（二）加大政策支持</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_Toc21630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6A28077A">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_Toc30027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（三）加强资金保障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_Toc30027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22</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69E482B1">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_Toc2249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（四）加强人才保障</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_Toc2249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22</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0F67E99F">
          <w:pPr>
            <w:pStyle w:val="12"/>
            <w:tabs>
              <w:tab w:val="right" w:leader="dot" w:pos="8306"/>
            </w:tabs>
            <w:rPr>
              <w:rFonts w:hint="default" w:ascii="Times New Roman" w:hAnsi="Times New Roman" w:cs="Times New Roman"/>
              <w:sz w:val="28"/>
              <w:szCs w:val="28"/>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begin"/>
          </w:r>
          <w:r>
            <w:rPr>
              <w:rFonts w:hint="default" w:ascii="Times New Roman" w:hAnsi="Times New Roman" w:eastAsia="方正小标宋简体" w:cs="Times New Roman"/>
              <w:sz w:val="28"/>
              <w:szCs w:val="28"/>
            </w:rPr>
            <w:instrText xml:space="preserve"> HYPERLINK \l _Toc3853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楷体" w:cs="Times New Roman"/>
              <w:sz w:val="28"/>
              <w:szCs w:val="28"/>
            </w:rPr>
            <w:t>（五）加大宣传推广</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_Toc3853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22</w:t>
          </w:r>
          <w:r>
            <w:rPr>
              <w:rFonts w:hint="default" w:ascii="Times New Roman" w:hAnsi="Times New Roman" w:cs="Times New Roman"/>
              <w:sz w:val="28"/>
              <w:szCs w:val="28"/>
            </w:rPr>
            <w:fldChar w:fldCharType="end"/>
          </w: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p w14:paraId="543EDAEE">
          <w:pPr>
            <w:snapToGrid w:val="0"/>
            <w:spacing w:line="360" w:lineRule="auto"/>
            <w:jc w:val="both"/>
            <w:rPr>
              <w:rFonts w:hint="default" w:ascii="Times New Roman" w:hAnsi="Times New Roman" w:eastAsia="方正小标宋简体" w:cs="Times New Roman"/>
              <w:color w:val="000000" w:themeColor="text1"/>
              <w:sz w:val="28"/>
              <w:szCs w:val="28"/>
              <w14:textFill>
                <w14:solidFill>
                  <w14:schemeClr w14:val="tx1"/>
                </w14:solidFill>
              </w14:textFill>
            </w:rPr>
          </w:pPr>
          <w:r>
            <w:rPr>
              <w:rFonts w:hint="default" w:ascii="Times New Roman" w:hAnsi="Times New Roman" w:eastAsia="方正小标宋简体" w:cs="Times New Roman"/>
              <w:color w:val="000000" w:themeColor="text1"/>
              <w:sz w:val="28"/>
              <w:szCs w:val="28"/>
              <w14:textFill>
                <w14:solidFill>
                  <w14:schemeClr w14:val="tx1"/>
                </w14:solidFill>
              </w14:textFill>
            </w:rPr>
            <w:fldChar w:fldCharType="end"/>
          </w:r>
        </w:p>
      </w:sdtContent>
    </w:sdt>
    <w:p w14:paraId="0A61B4F4">
      <w:pPr>
        <w:snapToGrid w:val="0"/>
        <w:spacing w:line="360" w:lineRule="auto"/>
        <w:rPr>
          <w:rFonts w:hint="default" w:ascii="Times New Roman" w:hAnsi="Times New Roman" w:eastAsia="方正小标宋简体" w:cs="Times New Roman"/>
          <w:color w:val="000000" w:themeColor="text1"/>
          <w:sz w:val="28"/>
          <w:szCs w:val="28"/>
          <w14:textFill>
            <w14:solidFill>
              <w14:schemeClr w14:val="tx1"/>
            </w14:solidFill>
          </w14:textFill>
        </w:rPr>
      </w:pPr>
    </w:p>
    <w:p w14:paraId="6167BBF8">
      <w:pPr>
        <w:snapToGrid w:val="0"/>
        <w:spacing w:line="360" w:lineRule="auto"/>
        <w:ind w:firstLine="560" w:firstLineChars="200"/>
        <w:rPr>
          <w:rFonts w:hint="default" w:ascii="Times New Roman" w:hAnsi="Times New Roman" w:eastAsia="黑体" w:cs="Times New Roman"/>
          <w:color w:val="000000" w:themeColor="text1"/>
          <w:sz w:val="28"/>
          <w:szCs w:val="28"/>
          <w14:textFill>
            <w14:solidFill>
              <w14:schemeClr w14:val="tx1"/>
            </w14:solidFill>
          </w14:textFill>
        </w:rPr>
        <w:sectPr>
          <w:footerReference r:id="rId5" w:type="default"/>
          <w:pgSz w:w="11906" w:h="16838"/>
          <w:pgMar w:top="1440" w:right="1800" w:bottom="1440" w:left="1800" w:header="851" w:footer="992" w:gutter="0"/>
          <w:pgNumType w:fmt="upperRoman" w:start="1"/>
          <w:cols w:space="425" w:num="1"/>
          <w:docGrid w:type="lines" w:linePitch="312" w:charSpace="0"/>
        </w:sectPr>
      </w:pPr>
    </w:p>
    <w:p w14:paraId="63A3164C">
      <w:pPr>
        <w:snapToGrid w:val="0"/>
        <w:spacing w:line="360" w:lineRule="auto"/>
        <w:ind w:firstLine="640" w:firstLineChars="200"/>
        <w:outlineLvl w:val="0"/>
        <w:rPr>
          <w:rFonts w:hint="default" w:ascii="Times New Roman" w:hAnsi="Times New Roman" w:eastAsia="黑体" w:cs="Times New Roman"/>
          <w:color w:val="000000" w:themeColor="text1"/>
          <w:sz w:val="32"/>
          <w:szCs w:val="32"/>
          <w:lang w:val="en-US" w:eastAsia="zh-CN" w:bidi="ar"/>
          <w14:textFill>
            <w14:solidFill>
              <w14:schemeClr w14:val="tx1"/>
            </w14:solidFill>
          </w14:textFill>
        </w:rPr>
      </w:pPr>
      <w:bookmarkStart w:id="231" w:name="_GoBack"/>
      <w:bookmarkEnd w:id="231"/>
      <w:bookmarkStart w:id="0" w:name="_Toc2463"/>
      <w:bookmarkStart w:id="1" w:name="_Toc20562"/>
      <w:bookmarkStart w:id="2" w:name="_Toc29835"/>
      <w:bookmarkStart w:id="3" w:name="_Toc11448"/>
      <w:bookmarkStart w:id="4" w:name="_Toc22469"/>
      <w:bookmarkStart w:id="5" w:name="_Toc23104"/>
      <w:bookmarkStart w:id="6" w:name="_Toc7202"/>
      <w:bookmarkStart w:id="7" w:name="_Toc27523"/>
      <w:bookmarkStart w:id="8" w:name="_Toc17536"/>
      <w:bookmarkStart w:id="9" w:name="_Toc31981"/>
      <w:bookmarkStart w:id="10" w:name="_Toc27430"/>
      <w:r>
        <w:rPr>
          <w:rFonts w:hint="default" w:ascii="Times New Roman" w:hAnsi="Times New Roman" w:eastAsia="黑体" w:cs="Times New Roman"/>
          <w:color w:val="000000" w:themeColor="text1"/>
          <w:sz w:val="32"/>
          <w:szCs w:val="32"/>
          <w14:textFill>
            <w14:solidFill>
              <w14:schemeClr w14:val="tx1"/>
            </w14:solidFill>
          </w14:textFill>
        </w:rPr>
        <w:t>一、发展成就与面临形势</w:t>
      </w:r>
      <w:bookmarkEnd w:id="0"/>
      <w:bookmarkEnd w:id="1"/>
      <w:bookmarkEnd w:id="2"/>
      <w:bookmarkEnd w:id="3"/>
      <w:bookmarkEnd w:id="4"/>
      <w:bookmarkEnd w:id="5"/>
      <w:bookmarkEnd w:id="6"/>
      <w:bookmarkEnd w:id="7"/>
      <w:bookmarkEnd w:id="8"/>
      <w:bookmarkEnd w:id="9"/>
      <w:bookmarkEnd w:id="10"/>
    </w:p>
    <w:p w14:paraId="1B43F9EC">
      <w:pPr>
        <w:spacing w:line="360" w:lineRule="auto"/>
        <w:ind w:firstLine="640" w:firstLineChars="200"/>
        <w:outlineLvl w:val="1"/>
        <w:rPr>
          <w:rFonts w:hint="default" w:ascii="Times New Roman" w:hAnsi="Times New Roman" w:eastAsia="楷体" w:cs="Times New Roman"/>
          <w:color w:val="000000" w:themeColor="text1"/>
          <w:sz w:val="32"/>
          <w:szCs w:val="32"/>
          <w:lang w:eastAsia="zh-CN"/>
          <w14:textFill>
            <w14:solidFill>
              <w14:schemeClr w14:val="tx1"/>
            </w14:solidFill>
          </w14:textFill>
        </w:rPr>
      </w:pPr>
      <w:bookmarkStart w:id="11" w:name="_Toc2956"/>
      <w:bookmarkStart w:id="12" w:name="_Toc19594"/>
      <w:bookmarkStart w:id="13" w:name="_Toc15064"/>
      <w:bookmarkStart w:id="14" w:name="_Toc6225"/>
      <w:bookmarkStart w:id="15" w:name="_Toc31902"/>
      <w:bookmarkStart w:id="16" w:name="_Toc17307"/>
      <w:bookmarkStart w:id="17" w:name="_Toc16358"/>
      <w:bookmarkStart w:id="18" w:name="_Toc11304"/>
      <w:bookmarkStart w:id="19" w:name="_Toc4999"/>
      <w:bookmarkStart w:id="20" w:name="_Toc7560"/>
      <w:bookmarkStart w:id="21" w:name="_Toc29012"/>
      <w:r>
        <w:rPr>
          <w:rFonts w:hint="default" w:ascii="Times New Roman" w:hAnsi="Times New Roman" w:eastAsia="楷体" w:cs="Times New Roman"/>
          <w:color w:val="000000" w:themeColor="text1"/>
          <w:sz w:val="32"/>
          <w:szCs w:val="32"/>
          <w14:textFill>
            <w14:solidFill>
              <w14:schemeClr w14:val="tx1"/>
            </w14:solidFill>
          </w14:textFill>
        </w:rPr>
        <w:t>（一）发展</w:t>
      </w:r>
      <w:bookmarkEnd w:id="11"/>
      <w:bookmarkEnd w:id="12"/>
      <w:r>
        <w:rPr>
          <w:rFonts w:hint="default" w:ascii="Times New Roman" w:hAnsi="Times New Roman" w:eastAsia="楷体" w:cs="Times New Roman"/>
          <w:color w:val="000000" w:themeColor="text1"/>
          <w:sz w:val="32"/>
          <w:szCs w:val="32"/>
          <w14:textFill>
            <w14:solidFill>
              <w14:schemeClr w14:val="tx1"/>
            </w14:solidFill>
          </w14:textFill>
        </w:rPr>
        <w:t>成就</w:t>
      </w:r>
      <w:bookmarkEnd w:id="13"/>
      <w:bookmarkEnd w:id="14"/>
      <w:bookmarkEnd w:id="15"/>
      <w:bookmarkEnd w:id="16"/>
      <w:bookmarkEnd w:id="17"/>
      <w:bookmarkEnd w:id="18"/>
      <w:bookmarkEnd w:id="19"/>
      <w:bookmarkEnd w:id="20"/>
      <w:bookmarkEnd w:id="21"/>
    </w:p>
    <w:p w14:paraId="56F6E279">
      <w:pPr>
        <w:spacing w:line="360" w:lineRule="auto"/>
        <w:ind w:firstLine="640" w:firstLineChars="200"/>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十四五</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时期，花都区数字建设成效丰硕，各领域发展稳步推进。</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数据治理体系日趋完善，</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全面推行首席数据官制度，建立“一数一源一标准”融合治理模式，编制部门职能数据清单4835条，推动37家企业开展数据资产入表，初步构建数据要素价值转化路径。</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数实融合走深走实，</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2024年数字经济核心产业</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增加值</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达111.</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72</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亿元，建成全国首个城市级工业人工智能中心，服务企业超1676家，成为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首批国家级</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制造业数字化转型促进中心；累计培育国家级专精特新“小巨人”企业26家，智能网联汽车、智能声光等产业集群效应凸显。</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数字政府效能持续提升，</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创新推出3项全市独有“一件事”主题服务，上线7×24小时AI政务数字人“花嘟嘟”，实现2000余项事项“秒问秒答”，建成覆盖全域AI政务效能监督体系。汇聚45.3亿条数据，依托“穗智管”平台和三维地图数字底座，初步实现城市态势感知与AI辅助决策</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。数字社会成果惠民显著，</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“5G+急救”缩短救治时间20分钟，建成广州首个智慧医疗全场景“刷脸”无感就医体系，教育城域网全覆盖，“花智聘”等平台提升民生服务效能。</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数字基础设施不断夯实，</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累计建成5G基站8603座，完成168个关键路口信号灯智能化改造，建成车路协同项目一期，政务云新增10P智算算力，为未来三年发展提供有力支撑。</w:t>
      </w:r>
    </w:p>
    <w:p w14:paraId="4FD6DD99">
      <w:pPr>
        <w:spacing w:line="360" w:lineRule="auto"/>
        <w:ind w:left="420" w:left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22" w:name="_Toc1667"/>
      <w:bookmarkStart w:id="23" w:name="_Toc15023"/>
      <w:bookmarkStart w:id="24" w:name="_Toc17462"/>
      <w:bookmarkStart w:id="25" w:name="_Toc1604"/>
      <w:bookmarkStart w:id="26" w:name="_Toc30509"/>
      <w:bookmarkStart w:id="27" w:name="_Toc9254"/>
      <w:bookmarkStart w:id="28" w:name="_Toc27122"/>
      <w:bookmarkStart w:id="29" w:name="_Toc22604"/>
      <w:bookmarkStart w:id="30" w:name="_Toc32502"/>
      <w:bookmarkStart w:id="31" w:name="_Toc21431"/>
      <w:bookmarkStart w:id="32" w:name="_Toc8545"/>
      <w:bookmarkStart w:id="33" w:name="_Toc20756"/>
      <w:bookmarkStart w:id="34" w:name="_Toc19299"/>
      <w:bookmarkStart w:id="35" w:name="_Toc12467"/>
      <w:bookmarkStart w:id="36" w:name="_Toc30910"/>
      <w:bookmarkStart w:id="37" w:name="_Toc28949"/>
      <w:bookmarkStart w:id="38" w:name="_Toc4628"/>
      <w:bookmarkStart w:id="39" w:name="_Toc6921"/>
      <w:bookmarkStart w:id="40" w:name="_Toc18240"/>
      <w:bookmarkStart w:id="41" w:name="_Toc3535"/>
      <w:bookmarkStart w:id="42" w:name="_Toc9618"/>
      <w:bookmarkStart w:id="43" w:name="_Toc14202"/>
      <w:bookmarkStart w:id="44" w:name="_Toc2097"/>
      <w:bookmarkStart w:id="45" w:name="_Toc16948"/>
      <w:bookmarkStart w:id="46" w:name="_Toc17328"/>
      <w:bookmarkStart w:id="47" w:name="_Toc22650"/>
      <w:bookmarkStart w:id="48" w:name="_Toc9359"/>
      <w:r>
        <w:rPr>
          <w:rFonts w:hint="default" w:ascii="Times New Roman" w:hAnsi="Times New Roman" w:eastAsia="楷体" w:cs="Times New Roman"/>
          <w:color w:val="000000" w:themeColor="text1"/>
          <w:sz w:val="32"/>
          <w:szCs w:val="32"/>
          <w14:textFill>
            <w14:solidFill>
              <w14:schemeClr w14:val="tx1"/>
            </w14:solidFill>
          </w14:textFill>
        </w:rPr>
        <w:t>（</w:t>
      </w:r>
      <w:r>
        <w:rPr>
          <w:rFonts w:hint="default" w:ascii="Times New Roman" w:hAnsi="Times New Roman" w:eastAsia="楷体"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楷体" w:cs="Times New Roman"/>
          <w:color w:val="000000" w:themeColor="text1"/>
          <w:sz w:val="32"/>
          <w:szCs w:val="32"/>
          <w14:textFill>
            <w14:solidFill>
              <w14:schemeClr w14:val="tx1"/>
            </w14:solidFill>
          </w14:textFill>
        </w:rPr>
        <w:t>）面临形势</w:t>
      </w:r>
      <w:bookmarkEnd w:id="22"/>
      <w:bookmarkEnd w:id="23"/>
      <w:bookmarkEnd w:id="24"/>
      <w:bookmarkEnd w:id="25"/>
      <w:bookmarkEnd w:id="26"/>
      <w:bookmarkEnd w:id="27"/>
      <w:bookmarkEnd w:id="28"/>
      <w:bookmarkEnd w:id="29"/>
      <w:bookmarkEnd w:id="30"/>
    </w:p>
    <w:bookmarkEnd w:id="31"/>
    <w:bookmarkEnd w:id="32"/>
    <w:p w14:paraId="5D61F2F2">
      <w:pPr>
        <w:spacing w:line="360" w:lineRule="auto"/>
        <w:ind w:firstLine="640" w:firstLineChars="200"/>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当前，全球数智技术迭代加速，人工智能、大模型等前沿技术规模化应用，数据要素与传统生产要素深度融合，驱动经济社会全方位数智变革，数字政府、智能经济、智能社会新形态加速涌现。在此背景下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国家、省、市数字化战略层层叠加、同向发力，数字中国建设全面推进，广东以国家数字经济创新发展试验区为契机，推动数智技术与多领域深度融合，广州锚定数字中国标杆城市目标，系统实施数智融合创新行动，为花都数字化发展提供政策支撑。面对叠加战略机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花都</w:t>
      </w:r>
      <w:r>
        <w:rPr>
          <w:rFonts w:hint="default" w:ascii="Times New Roman" w:hAnsi="Times New Roman" w:eastAsia="仿宋_GB2312" w:cs="Times New Roman"/>
          <w:color w:val="000000" w:themeColor="text1"/>
          <w:sz w:val="32"/>
          <w:szCs w:val="32"/>
          <w14:textFill>
            <w14:solidFill>
              <w14:schemeClr w14:val="tx1"/>
            </w14:solidFill>
          </w14:textFill>
        </w:rPr>
        <w:t>作为广州北部增长极主阵地、南方枢纽主战场，紧扣四大战略定位，叠加国家级经开区、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城乡融合发展试验区</w:t>
      </w:r>
      <w:r>
        <w:rPr>
          <w:rFonts w:hint="default" w:ascii="Times New Roman" w:hAnsi="Times New Roman" w:eastAsia="仿宋_GB2312" w:cs="Times New Roman"/>
          <w:color w:val="000000" w:themeColor="text1"/>
          <w:sz w:val="32"/>
          <w:szCs w:val="32"/>
          <w14:textFill>
            <w14:solidFill>
              <w14:schemeClr w14:val="tx1"/>
            </w14:solidFill>
          </w14:textFill>
        </w:rPr>
        <w:t>、临空经济示范区等平台优势，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“十五五”时期</w:t>
      </w:r>
      <w:r>
        <w:rPr>
          <w:rFonts w:hint="default" w:ascii="Times New Roman" w:hAnsi="Times New Roman" w:eastAsia="仿宋_GB2312" w:cs="Times New Roman"/>
          <w:color w:val="000000" w:themeColor="text1"/>
          <w:sz w:val="32"/>
          <w:szCs w:val="32"/>
          <w14:textFill>
            <w14:solidFill>
              <w14:schemeClr w14:val="tx1"/>
            </w14:solidFill>
          </w14:textFill>
        </w:rPr>
        <w:t>迎来数字化发展关键机遇期。花都将立足区情，把握数字中国、数字湾区、数字广州建设机遇，探索差异化路径，在广州北部增长极建设中展现新担当。</w:t>
      </w:r>
    </w:p>
    <w:p w14:paraId="1BA7483A">
      <w:pPr>
        <w:spacing w:line="360" w:lineRule="auto"/>
        <w:ind w:firstLine="640" w:firstLineChars="200"/>
        <w:outlineLvl w:val="0"/>
        <w:rPr>
          <w:rFonts w:hint="default" w:ascii="Times New Roman" w:hAnsi="Times New Roman" w:eastAsia="黑体" w:cs="Times New Roman"/>
          <w:color w:val="000000" w:themeColor="text1"/>
          <w:sz w:val="32"/>
          <w:szCs w:val="32"/>
          <w:lang w:eastAsia="zh-CN"/>
          <w14:textFill>
            <w14:solidFill>
              <w14:schemeClr w14:val="tx1"/>
            </w14:solidFill>
          </w14:textFill>
        </w:rPr>
      </w:pPr>
      <w:bookmarkStart w:id="49" w:name="_Toc14620"/>
      <w:bookmarkStart w:id="50" w:name="_Toc2770"/>
      <w:bookmarkStart w:id="51" w:name="_Toc32106"/>
      <w:r>
        <w:rPr>
          <w:rFonts w:hint="default" w:ascii="Times New Roman" w:hAnsi="Times New Roman" w:eastAsia="黑体" w:cs="Times New Roman"/>
          <w:color w:val="000000" w:themeColor="text1"/>
          <w:sz w:val="32"/>
          <w:szCs w:val="32"/>
          <w14:textFill>
            <w14:solidFill>
              <w14:schemeClr w14:val="tx1"/>
            </w14:solidFill>
          </w14:textFill>
        </w:rPr>
        <w:t>二、总体要求</w:t>
      </w:r>
      <w:bookmarkEnd w:id="33"/>
      <w:bookmarkEnd w:id="34"/>
      <w:bookmarkEnd w:id="35"/>
      <w:bookmarkEnd w:id="36"/>
      <w:bookmarkEnd w:id="37"/>
      <w:bookmarkEnd w:id="38"/>
      <w:bookmarkEnd w:id="49"/>
      <w:bookmarkEnd w:id="50"/>
      <w:bookmarkEnd w:id="51"/>
    </w:p>
    <w:p w14:paraId="33F10F17">
      <w:pPr>
        <w:spacing w:line="360" w:lineRule="auto"/>
        <w:ind w:firstLine="640" w:firstLineChars="200"/>
        <w:rPr>
          <w:rFonts w:hint="default" w:ascii="Times New Roman" w:hAnsi="Times New Roman" w:eastAsia="仿宋_GB2312" w:cs="Times New Roman"/>
          <w:color w:val="000000" w:themeColor="text1"/>
          <w:kern w:val="21"/>
          <w:sz w:val="32"/>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坚持以习近平新时代中国特色社会主义思想为指导，全面贯彻党的二十大和历次全会精神，深入学习习近平总书记对广东、广州系列重要讲话和重要指示精神，按照党中央、国务院关于建设网络强国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数字中国重大战略部署，认真贯彻落实省委“1310”具体部署和市委“1312”思路举措。以高质量发展为主线，筑牢数字基础设施根基，发挥数据要素基础资源作用和人工智能创新驱动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效能</w:t>
      </w:r>
      <w:r>
        <w:rPr>
          <w:rFonts w:hint="default" w:ascii="Times New Roman" w:hAnsi="Times New Roman" w:eastAsia="仿宋_GB2312" w:cs="Times New Roman"/>
          <w:color w:val="000000" w:themeColor="text1"/>
          <w:sz w:val="32"/>
          <w:szCs w:val="32"/>
          <w14:textFill>
            <w14:solidFill>
              <w14:schemeClr w14:val="tx1"/>
            </w14:solidFill>
          </w14:textFill>
        </w:rPr>
        <w:t>，推进数字经济做强做优、数字政府高效协同和数字社会普惠包容，全面优化数字花都生态发展生态，推动数字化建设与锻造新质生产力同频共振，实现经济效益与社会效益双向赋能。</w:t>
      </w:r>
      <w:r>
        <w:rPr>
          <w:rFonts w:hint="default" w:ascii="Times New Roman" w:hAnsi="Times New Roman" w:eastAsia="仿宋_GB2312" w:cs="Times New Roman"/>
          <w:color w:val="000000" w:themeColor="text1"/>
          <w:kern w:val="21"/>
          <w:sz w:val="32"/>
          <w:szCs w:val="28"/>
          <w14:textFill>
            <w14:solidFill>
              <w14:schemeClr w14:val="tx1"/>
            </w14:solidFill>
          </w14:textFill>
        </w:rPr>
        <w:t>到2030年，“数字花都”建设实现</w:t>
      </w:r>
      <w:r>
        <w:rPr>
          <w:rFonts w:hint="default" w:ascii="Times New Roman" w:hAnsi="Times New Roman" w:eastAsia="仿宋_GB2312" w:cs="Times New Roman"/>
          <w:color w:val="000000" w:themeColor="text1"/>
          <w:kern w:val="21"/>
          <w:sz w:val="32"/>
          <w:szCs w:val="28"/>
          <w:lang w:val="en-US" w:eastAsia="zh-CN"/>
          <w14:textFill>
            <w14:solidFill>
              <w14:schemeClr w14:val="tx1"/>
            </w14:solidFill>
          </w14:textFill>
        </w:rPr>
        <w:t>整体</w:t>
      </w:r>
      <w:r>
        <w:rPr>
          <w:rFonts w:hint="default" w:ascii="Times New Roman" w:hAnsi="Times New Roman" w:eastAsia="仿宋_GB2312" w:cs="Times New Roman"/>
          <w:color w:val="000000" w:themeColor="text1"/>
          <w:kern w:val="21"/>
          <w:sz w:val="32"/>
          <w:szCs w:val="28"/>
          <w14:textFill>
            <w14:solidFill>
              <w14:schemeClr w14:val="tx1"/>
            </w14:solidFill>
          </w14:textFill>
        </w:rPr>
        <w:t>跃升，全面迈入数智融合发展新阶段</w:t>
      </w:r>
      <w:r>
        <w:rPr>
          <w:rFonts w:hint="default" w:ascii="Times New Roman" w:hAnsi="Times New Roman" w:eastAsia="仿宋_GB2312" w:cs="Times New Roman"/>
          <w:color w:val="000000" w:themeColor="text1"/>
          <w:kern w:val="21"/>
          <w:sz w:val="32"/>
          <w:szCs w:val="28"/>
          <w:lang w:eastAsia="zh-CN"/>
          <w14:textFill>
            <w14:solidFill>
              <w14:schemeClr w14:val="tx1"/>
            </w14:solidFill>
          </w14:textFill>
        </w:rPr>
        <w:t>，</w:t>
      </w:r>
      <w:r>
        <w:rPr>
          <w:rFonts w:hint="default" w:ascii="Times New Roman" w:hAnsi="Times New Roman" w:eastAsia="仿宋_GB2312" w:cs="Times New Roman"/>
          <w:color w:val="000000" w:themeColor="text1"/>
          <w:kern w:val="21"/>
          <w:sz w:val="32"/>
          <w:szCs w:val="28"/>
          <w:lang w:val="en-US" w:eastAsia="zh-CN"/>
          <w14:textFill>
            <w14:solidFill>
              <w14:schemeClr w14:val="tx1"/>
            </w14:solidFill>
          </w14:textFill>
        </w:rPr>
        <w:t>建成粤港澳大湾区北部数智融合高地，树立现代化数字城区典范。</w:t>
      </w:r>
    </w:p>
    <w:bookmarkEnd w:id="39"/>
    <w:bookmarkEnd w:id="40"/>
    <w:bookmarkEnd w:id="41"/>
    <w:bookmarkEnd w:id="42"/>
    <w:bookmarkEnd w:id="43"/>
    <w:bookmarkEnd w:id="44"/>
    <w:bookmarkEnd w:id="45"/>
    <w:bookmarkEnd w:id="46"/>
    <w:bookmarkEnd w:id="47"/>
    <w:bookmarkEnd w:id="48"/>
    <w:p w14:paraId="1EE0D513">
      <w:pPr>
        <w:numPr>
          <w:ilvl w:val="-1"/>
          <w:numId w:val="0"/>
        </w:numPr>
        <w:spacing w:line="360" w:lineRule="auto"/>
        <w:ind w:firstLine="640" w:firstLineChars="200"/>
        <w:outlineLvl w:val="0"/>
        <w:rPr>
          <w:rFonts w:hint="default" w:ascii="Times New Roman" w:hAnsi="Times New Roman" w:eastAsia="黑体" w:cs="Times New Roman"/>
          <w:color w:val="000000" w:themeColor="text1"/>
          <w:sz w:val="32"/>
          <w:szCs w:val="32"/>
          <w14:textFill>
            <w14:solidFill>
              <w14:schemeClr w14:val="tx1"/>
            </w14:solidFill>
          </w14:textFill>
        </w:rPr>
      </w:pPr>
      <w:bookmarkStart w:id="52" w:name="_Toc32237"/>
      <w:bookmarkStart w:id="53" w:name="_Toc13225"/>
      <w:bookmarkStart w:id="54" w:name="_Toc11538"/>
      <w:bookmarkStart w:id="55" w:name="_Toc20494"/>
      <w:bookmarkStart w:id="56" w:name="_Toc268"/>
      <w:bookmarkStart w:id="57" w:name="_Toc24418"/>
      <w:bookmarkStart w:id="58" w:name="_Toc3231"/>
      <w:bookmarkStart w:id="59" w:name="_Toc21524"/>
      <w:bookmarkStart w:id="60" w:name="_Toc13454"/>
      <w:bookmarkStart w:id="61" w:name="_Toc27582"/>
      <w:bookmarkStart w:id="62" w:name="_Toc10770"/>
      <w:r>
        <w:rPr>
          <w:rFonts w:hint="default" w:ascii="Times New Roman" w:hAnsi="Times New Roman" w:eastAsia="黑体" w:cs="Times New Roman"/>
          <w:color w:val="000000" w:themeColor="text1"/>
          <w:sz w:val="32"/>
          <w:szCs w:val="32"/>
          <w:lang w:val="en-US" w:eastAsia="zh-CN"/>
          <w14:textFill>
            <w14:solidFill>
              <w14:schemeClr w14:val="tx1"/>
            </w14:solidFill>
          </w14:textFill>
        </w:rPr>
        <w:t>三、筑牢</w:t>
      </w:r>
      <w:r>
        <w:rPr>
          <w:rFonts w:hint="default" w:ascii="Times New Roman" w:hAnsi="Times New Roman" w:eastAsia="黑体" w:cs="Times New Roman"/>
          <w:color w:val="000000" w:themeColor="text1"/>
          <w:sz w:val="32"/>
          <w:szCs w:val="32"/>
          <w14:textFill>
            <w14:solidFill>
              <w14:schemeClr w14:val="tx1"/>
            </w14:solidFill>
          </w14:textFill>
        </w:rPr>
        <w:t>数字花都发展基础底座</w:t>
      </w:r>
      <w:bookmarkEnd w:id="52"/>
      <w:bookmarkEnd w:id="53"/>
      <w:bookmarkEnd w:id="54"/>
      <w:bookmarkEnd w:id="55"/>
      <w:bookmarkEnd w:id="56"/>
      <w:bookmarkEnd w:id="57"/>
      <w:bookmarkEnd w:id="58"/>
      <w:bookmarkEnd w:id="59"/>
      <w:bookmarkEnd w:id="60"/>
      <w:bookmarkEnd w:id="61"/>
      <w:bookmarkEnd w:id="62"/>
    </w:p>
    <w:p w14:paraId="001B1584">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63" w:name="_Toc12770"/>
      <w:bookmarkStart w:id="64" w:name="_Toc30197"/>
      <w:bookmarkStart w:id="65" w:name="_Toc28253"/>
      <w:bookmarkStart w:id="66" w:name="_Toc29404"/>
      <w:r>
        <w:rPr>
          <w:rFonts w:hint="default" w:ascii="Times New Roman" w:hAnsi="Times New Roman" w:eastAsia="楷体" w:cs="Times New Roman"/>
          <w:color w:val="000000" w:themeColor="text1"/>
          <w:sz w:val="32"/>
          <w:szCs w:val="32"/>
          <w14:textFill>
            <w14:solidFill>
              <w14:schemeClr w14:val="tx1"/>
            </w14:solidFill>
          </w14:textFill>
        </w:rPr>
        <w:t>（一）持续升级网络基础设施</w:t>
      </w:r>
      <w:bookmarkEnd w:id="63"/>
      <w:bookmarkEnd w:id="64"/>
    </w:p>
    <w:p w14:paraId="658019F6">
      <w:pPr>
        <w:spacing w:line="360" w:lineRule="auto"/>
        <w:ind w:firstLine="643" w:firstLineChars="200"/>
        <w:rPr>
          <w:rFonts w:hint="default" w:ascii="Times New Roman" w:hAnsi="Times New Roman" w:eastAsia="仿宋_GB2312" w:cs="Times New Roman"/>
          <w:b w:val="0"/>
          <w:bCs w:val="0"/>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lang w:val="en-US" w:eastAsia="zh-CN"/>
          <w14:textFill>
            <w14:solidFill>
              <w14:schemeClr w14:val="tx1"/>
            </w14:solidFill>
          </w14:textFill>
        </w:rPr>
        <w:t>优化网络基础设施。</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有序推进5G网络向5G-A升级演进</w:t>
      </w:r>
      <w:r>
        <w:rPr>
          <w:rFonts w:hint="default" w:ascii="Times New Roman" w:hAnsi="Times New Roman" w:eastAsia="仿宋_GB2312" w:cs="Times New Roman"/>
          <w:b w:val="0"/>
          <w:bCs w:val="0"/>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培育5G/5G-A应用标杆。适时布局6G网络。支持开展万兆光网部署，聚焦小区、工厂、工业园区等重点场景，有序推进万兆宽带接入能力布局。大力推动农村及偏远地区“信号升格”，加强5G、千兆光网等先进网络能力部署。探索布局卫星互联网、量子通信等未来通信网络基础设施。</w:t>
      </w:r>
    </w:p>
    <w:p w14:paraId="6E45D721">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67" w:name="_Toc3367"/>
      <w:bookmarkStart w:id="68" w:name="_Toc19975"/>
      <w:r>
        <w:rPr>
          <w:rFonts w:hint="default" w:ascii="Times New Roman" w:hAnsi="Times New Roman" w:eastAsia="楷体" w:cs="Times New Roman"/>
          <w:color w:val="000000" w:themeColor="text1"/>
          <w:sz w:val="32"/>
          <w:szCs w:val="32"/>
          <w14:textFill>
            <w14:solidFill>
              <w14:schemeClr w14:val="tx1"/>
            </w14:solidFill>
          </w14:textFill>
        </w:rPr>
        <w:t>（二）统筹布局算力基础设施</w:t>
      </w:r>
      <w:bookmarkEnd w:id="67"/>
      <w:bookmarkEnd w:id="68"/>
    </w:p>
    <w:p w14:paraId="7490C4CA">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14:textFill>
            <w14:solidFill>
              <w14:schemeClr w14:val="tx1"/>
            </w14:solidFill>
          </w14:textFill>
        </w:rPr>
        <w:t>推动智算中心建设</w:t>
      </w:r>
      <w:r>
        <w:rPr>
          <w:rFonts w:hint="default" w:ascii="Times New Roman" w:hAnsi="Times New Roman" w:eastAsia="仿宋_GB2312" w:cs="Times New Roman"/>
          <w:b/>
          <w:bCs/>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推进广州北算力中心建设，按需</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灵活部署边缘算力</w:t>
      </w:r>
      <w:r>
        <w:rPr>
          <w:rFonts w:hint="default" w:ascii="Times New Roman" w:hAnsi="Times New Roman" w:eastAsia="仿宋_GB2312" w:cs="Times New Roman"/>
          <w:color w:val="000000" w:themeColor="text1"/>
          <w:sz w:val="32"/>
          <w:szCs w:val="40"/>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满足</w:t>
      </w:r>
      <w:r>
        <w:rPr>
          <w:rFonts w:hint="default" w:ascii="Times New Roman" w:hAnsi="Times New Roman" w:eastAsia="仿宋_GB2312" w:cs="Times New Roman"/>
          <w:color w:val="000000" w:themeColor="text1"/>
          <w:sz w:val="32"/>
          <w:szCs w:val="40"/>
          <w14:textFill>
            <w14:solidFill>
              <w14:schemeClr w14:val="tx1"/>
            </w14:solidFill>
          </w14:textFill>
        </w:rPr>
        <w:t>工业智造、智能网联汽车低时延</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业务</w:t>
      </w:r>
      <w:r>
        <w:rPr>
          <w:rFonts w:hint="default" w:ascii="Times New Roman" w:hAnsi="Times New Roman" w:eastAsia="仿宋_GB2312" w:cs="Times New Roman"/>
          <w:color w:val="000000" w:themeColor="text1"/>
          <w:sz w:val="32"/>
          <w:szCs w:val="40"/>
          <w14:textFill>
            <w14:solidFill>
              <w14:schemeClr w14:val="tx1"/>
            </w14:solidFill>
          </w14:textFill>
        </w:rPr>
        <w:t>需求。</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加强算电协同</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统筹</w:t>
      </w:r>
      <w:r>
        <w:rPr>
          <w:rFonts w:hint="default" w:ascii="Times New Roman" w:hAnsi="Times New Roman" w:eastAsia="仿宋_GB2312" w:cs="Times New Roman"/>
          <w:color w:val="000000" w:themeColor="text1"/>
          <w:sz w:val="32"/>
          <w:szCs w:val="40"/>
          <w14:textFill>
            <w14:solidFill>
              <w14:schemeClr w14:val="tx1"/>
            </w14:solidFill>
          </w14:textFill>
        </w:rPr>
        <w:t>数据中心与新能源、电网建设，依托区内光伏储能资源，探索用户侧储能、智能微电网、零（低）碳园区等场景应用。</w:t>
      </w:r>
    </w:p>
    <w:p w14:paraId="3D7AA366">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69" w:name="_Toc2070"/>
      <w:bookmarkStart w:id="70" w:name="_Toc12227"/>
      <w:r>
        <w:rPr>
          <w:rFonts w:hint="default" w:ascii="Times New Roman" w:hAnsi="Times New Roman" w:eastAsia="楷体" w:cs="Times New Roman"/>
          <w:color w:val="000000" w:themeColor="text1"/>
          <w:sz w:val="32"/>
          <w:szCs w:val="32"/>
          <w14:textFill>
            <w14:solidFill>
              <w14:schemeClr w14:val="tx1"/>
            </w14:solidFill>
          </w14:textFill>
        </w:rPr>
        <w:t>（三）强化数据基础设施建设</w:t>
      </w:r>
      <w:bookmarkEnd w:id="69"/>
      <w:bookmarkEnd w:id="70"/>
    </w:p>
    <w:p w14:paraId="44808080">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lang w:val="en-US" w:eastAsia="zh-CN"/>
          <w14:textFill>
            <w14:solidFill>
              <w14:schemeClr w14:val="tx1"/>
            </w14:solidFill>
          </w14:textFill>
        </w:rPr>
        <w:t>建设数据基础设施。</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深化国家数据基础设施</w:t>
      </w:r>
      <w:r>
        <w:rPr>
          <w:rFonts w:hint="default" w:ascii="Times New Roman" w:hAnsi="Times New Roman" w:eastAsia="仿宋_GB2312" w:cs="Times New Roman"/>
          <w:color w:val="000000" w:themeColor="text1"/>
          <w:sz w:val="32"/>
          <w:szCs w:val="40"/>
          <w14:textFill>
            <w14:solidFill>
              <w14:schemeClr w14:val="tx1"/>
            </w14:solidFill>
          </w14:textFill>
        </w:rPr>
        <w:t>第二批先行先试任务</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“空港”建设</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lang w:bidi="ar"/>
          <w14:textFill>
            <w14:solidFill>
              <w14:schemeClr w14:val="tx1"/>
            </w14:solidFill>
          </w14:textFill>
        </w:rPr>
        <w:t>构建以空港为核心的多源异构数据融合体系，</w:t>
      </w:r>
      <w:r>
        <w:rPr>
          <w:rFonts w:hint="default" w:ascii="Times New Roman" w:hAnsi="Times New Roman" w:eastAsia="仿宋_GB2312" w:cs="Times New Roman"/>
          <w:color w:val="000000" w:themeColor="text1"/>
          <w:sz w:val="32"/>
          <w:szCs w:val="40"/>
          <w14:textFill>
            <w14:solidFill>
              <w14:schemeClr w14:val="tx1"/>
            </w14:solidFill>
          </w14:textFill>
        </w:rPr>
        <w:t>打造一批数据流通利用典型场景，构建数据流通主体集聚、数据产品丰富的生态体系。依托广州市城市可信数据空间特色行业专区，</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建设花都特色箱包皮具、日化美妆、汽车零配件、智能装备等产业数据专区</w:t>
      </w:r>
      <w:r>
        <w:rPr>
          <w:rFonts w:hint="default" w:ascii="Times New Roman" w:hAnsi="Times New Roman" w:eastAsia="仿宋_GB2312" w:cs="Times New Roman"/>
          <w:color w:val="000000" w:themeColor="text1"/>
          <w:sz w:val="32"/>
          <w:szCs w:val="40"/>
          <w14:textFill>
            <w14:solidFill>
              <w14:schemeClr w14:val="tx1"/>
            </w14:solidFill>
          </w14:textFill>
        </w:rPr>
        <w:t>。鼓励行业龙头企业牵头，会同多元主体共建行业可信数据空间，探索建设企业可信数据空间。</w:t>
      </w:r>
    </w:p>
    <w:p w14:paraId="1C4BE701">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71" w:name="_Toc25732"/>
      <w:bookmarkStart w:id="72" w:name="_Toc24545"/>
      <w:bookmarkStart w:id="73" w:name="_Toc20826"/>
      <w:r>
        <w:rPr>
          <w:rFonts w:hint="default" w:ascii="Times New Roman" w:hAnsi="Times New Roman" w:eastAsia="楷体" w:cs="Times New Roman"/>
          <w:color w:val="000000" w:themeColor="text1"/>
          <w:sz w:val="32"/>
          <w:szCs w:val="32"/>
          <w14:textFill>
            <w14:solidFill>
              <w14:schemeClr w14:val="tx1"/>
            </w14:solidFill>
          </w14:textFill>
        </w:rPr>
        <w:t>（四）建设融合应用基础设施</w:t>
      </w:r>
      <w:bookmarkEnd w:id="71"/>
      <w:bookmarkEnd w:id="72"/>
    </w:p>
    <w:p w14:paraId="50574092">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lang w:val="en-US" w:eastAsia="zh-CN"/>
          <w14:textFill>
            <w14:solidFill>
              <w14:schemeClr w14:val="tx1"/>
            </w14:solidFill>
          </w14:textFill>
        </w:rPr>
        <w:t>改造融合基础设施。</w:t>
      </w:r>
      <w:r>
        <w:rPr>
          <w:rFonts w:hint="default" w:ascii="Times New Roman" w:hAnsi="Times New Roman" w:eastAsia="仿宋_GB2312" w:cs="Times New Roman"/>
          <w:color w:val="000000" w:themeColor="text1"/>
          <w:sz w:val="32"/>
          <w:szCs w:val="40"/>
          <w14:textFill>
            <w14:solidFill>
              <w14:schemeClr w14:val="tx1"/>
            </w14:solidFill>
          </w14:textFill>
        </w:rPr>
        <w:t>有序推进道路、供水、电力、燃气、消防、管廊等设施数智化改造，</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推广</w:t>
      </w:r>
      <w:r>
        <w:rPr>
          <w:rFonts w:hint="default" w:ascii="Times New Roman" w:hAnsi="Times New Roman" w:eastAsia="仿宋_GB2312" w:cs="Times New Roman"/>
          <w:color w:val="000000" w:themeColor="text1"/>
          <w:sz w:val="32"/>
          <w:szCs w:val="40"/>
          <w14:textFill>
            <w14:solidFill>
              <w14:schemeClr w14:val="tx1"/>
            </w14:solidFill>
          </w14:textFill>
        </w:rPr>
        <w:t>智能电表、水表</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及</w:t>
      </w:r>
      <w:r>
        <w:rPr>
          <w:rFonts w:hint="default" w:ascii="Times New Roman" w:hAnsi="Times New Roman" w:eastAsia="仿宋_GB2312" w:cs="Times New Roman"/>
          <w:color w:val="000000" w:themeColor="text1"/>
          <w:sz w:val="32"/>
          <w:szCs w:val="40"/>
          <w14:textFill>
            <w14:solidFill>
              <w14:schemeClr w14:val="tx1"/>
            </w14:solidFill>
          </w14:textFill>
        </w:rPr>
        <w:t>燃气表，</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有序建设</w:t>
      </w:r>
      <w:r>
        <w:rPr>
          <w:rFonts w:hint="default" w:ascii="Times New Roman" w:hAnsi="Times New Roman" w:eastAsia="仿宋_GB2312" w:cs="Times New Roman"/>
          <w:color w:val="000000" w:themeColor="text1"/>
          <w:sz w:val="32"/>
          <w:szCs w:val="40"/>
          <w14:textFill>
            <w14:solidFill>
              <w14:schemeClr w14:val="tx1"/>
            </w14:solidFill>
          </w14:textFill>
        </w:rPr>
        <w:t>智慧充电桩。构建公共安全智能视频感知体系，推动花都区治安视频监控系统项目建设，开展视频前端智能化改造。</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深化低空数字基础设施建设</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加快推进低空云图赋能平台项目建设。</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推进智能网联基础设施建设</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加快部署路侧感知单元、边缘计算节点等智能交通基础设施，</w:t>
      </w:r>
      <w:r>
        <w:rPr>
          <w:rFonts w:hint="eastAsia" w:ascii="Times New Roman" w:hAnsi="Times New Roman" w:eastAsia="仿宋_GB2312" w:cs="Times New Roman"/>
          <w:color w:val="000000" w:themeColor="text1"/>
          <w:sz w:val="32"/>
          <w:szCs w:val="40"/>
          <w:lang w:val="en-US" w:eastAsia="zh-CN"/>
          <w14:textFill>
            <w14:solidFill>
              <w14:schemeClr w14:val="tx1"/>
            </w14:solidFill>
          </w14:textFill>
        </w:rPr>
        <w:t>推动</w:t>
      </w:r>
      <w:r>
        <w:rPr>
          <w:rFonts w:hint="default" w:ascii="Times New Roman" w:hAnsi="Times New Roman" w:eastAsia="仿宋_GB2312" w:cs="Times New Roman"/>
          <w:color w:val="000000" w:themeColor="text1"/>
          <w:sz w:val="32"/>
          <w:szCs w:val="40"/>
          <w14:textFill>
            <w14:solidFill>
              <w14:schemeClr w14:val="tx1"/>
            </w14:solidFill>
          </w14:textFill>
        </w:rPr>
        <w:t>广州北部湾区（花都）智能网联汽车“车路云一体化”应用试点项目建设。</w:t>
      </w:r>
    </w:p>
    <w:p w14:paraId="7882F1FD">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74" w:name="_Toc12529"/>
      <w:bookmarkStart w:id="75" w:name="_Toc29259"/>
      <w:r>
        <w:rPr>
          <w:rFonts w:hint="default" w:ascii="Times New Roman" w:hAnsi="Times New Roman" w:eastAsia="楷体" w:cs="Times New Roman"/>
          <w:color w:val="000000" w:themeColor="text1"/>
          <w:sz w:val="32"/>
          <w:szCs w:val="32"/>
          <w14:textFill>
            <w14:solidFill>
              <w14:schemeClr w14:val="tx1"/>
            </w14:solidFill>
          </w14:textFill>
        </w:rPr>
        <w:t>（五）构建城市智能决策中枢</w:t>
      </w:r>
      <w:bookmarkEnd w:id="74"/>
      <w:bookmarkEnd w:id="75"/>
    </w:p>
    <w:p w14:paraId="1F336B20">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推动数字底座建设。</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深化“穗智管”花都区管理平台建设</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强化AI赋能，构建以感知、数据、算法为基础的城市事件中枢平台，形成“受理—分派—处置—反馈—分析”全流程闭环。</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增强城市共性赋能能力</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持续构建全区统一的物联感知平台、视频汇聚平台、城市三维地图等可复用基础件，建立共性组件、模块、智能体等共享协作机制。</w:t>
      </w:r>
    </w:p>
    <w:bookmarkEnd w:id="65"/>
    <w:bookmarkEnd w:id="66"/>
    <w:bookmarkEnd w:id="73"/>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B4E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22" w:type="dxa"/>
          </w:tcPr>
          <w:p w14:paraId="39F24CBB">
            <w:pPr>
              <w:widowControl/>
              <w:spacing w:line="360" w:lineRule="auto"/>
              <w:ind w:firstLine="562" w:firstLineChars="200"/>
              <w:jc w:val="center"/>
              <w:rPr>
                <w:rFonts w:hint="default" w:ascii="Times New Roman" w:hAnsi="Times New Roman" w:eastAsia="仿宋_GB2312" w:cs="Times New Roman"/>
                <w:sz w:val="28"/>
                <w:szCs w:val="28"/>
              </w:rPr>
            </w:pPr>
            <w:bookmarkStart w:id="76" w:name="_Toc28640"/>
            <w:bookmarkStart w:id="77" w:name="_Toc13904"/>
            <w:bookmarkStart w:id="78" w:name="_Toc30949"/>
            <w:bookmarkStart w:id="79" w:name="_Toc25207"/>
            <w:bookmarkStart w:id="80" w:name="_Toc60"/>
            <w:bookmarkStart w:id="81" w:name="_Toc21721"/>
            <w:bookmarkStart w:id="82" w:name="_Toc11663"/>
            <w:bookmarkStart w:id="83" w:name="_Toc8362"/>
            <w:bookmarkStart w:id="84" w:name="_Toc7558"/>
            <w:r>
              <w:rPr>
                <w:rFonts w:hint="default" w:ascii="Times New Roman" w:hAnsi="Times New Roman" w:eastAsia="仿宋_GB2312" w:cs="Times New Roman"/>
                <w:b/>
                <w:bCs/>
                <w:sz w:val="28"/>
                <w:szCs w:val="28"/>
              </w:rPr>
              <w:t>专栏</w:t>
            </w:r>
            <w:r>
              <w:rPr>
                <w:rFonts w:hint="default" w:ascii="Times New Roman" w:hAnsi="Times New Roman" w:eastAsia="仿宋_GB2312" w:cs="Times New Roman"/>
                <w:b/>
                <w:bCs/>
                <w:sz w:val="28"/>
                <w:szCs w:val="28"/>
                <w:lang w:val="en-US" w:eastAsia="zh-CN"/>
              </w:rPr>
              <w:t>1</w:t>
            </w:r>
            <w:r>
              <w:rPr>
                <w:rFonts w:hint="default" w:ascii="Times New Roman" w:hAnsi="Times New Roman" w:eastAsia="仿宋_GB2312" w:cs="Times New Roman"/>
                <w:b/>
                <w:bCs/>
                <w:sz w:val="28"/>
                <w:szCs w:val="28"/>
              </w:rPr>
              <w:t xml:space="preserve"> 数字底座提升工程</w:t>
            </w:r>
          </w:p>
        </w:tc>
      </w:tr>
      <w:tr w14:paraId="3668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1" w:hRule="atLeast"/>
        </w:trPr>
        <w:tc>
          <w:tcPr>
            <w:tcW w:w="8522" w:type="dxa"/>
          </w:tcPr>
          <w:p w14:paraId="6DF804AE">
            <w:pPr>
              <w:spacing w:line="360" w:lineRule="auto"/>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国家数据基础设施建设试点任务“空港”</w:t>
            </w:r>
            <w:r>
              <w:rPr>
                <w:rFonts w:hint="default" w:ascii="Times New Roman" w:hAnsi="Times New Roman" w:eastAsia="仿宋_GB2312" w:cs="Times New Roman"/>
                <w:sz w:val="28"/>
                <w:szCs w:val="28"/>
              </w:rPr>
              <w:t>。全面汇聚空港运营调度、航空物流、周边交通、低空飞行与通感数据等全链条数据资源，形成可定价交易的数据资产；完成不少于1个技术场景验证，打造不少于10个典型数据流通利用场景；接入不少于300个各类数据流通利用主体，上架不少于550个数据产品。</w:t>
            </w:r>
          </w:p>
          <w:p w14:paraId="02F10912">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韶关－花都机场－广州国际通信出口－深汕出海口的国际通信光缆项目</w:t>
            </w:r>
            <w:r>
              <w:rPr>
                <w:rFonts w:hint="default" w:ascii="Times New Roman" w:hAnsi="Times New Roman" w:eastAsia="仿宋_GB2312" w:cs="Times New Roman"/>
                <w:sz w:val="28"/>
                <w:szCs w:val="28"/>
              </w:rPr>
              <w:t>。推动韶关至深圳海缆接口经陆缆直连花都，重点支撑跨境金融交易、实时云服务、跨境数据高速流通等场景需求。</w:t>
            </w:r>
          </w:p>
          <w:p w14:paraId="6E20D051">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低空云图赋能平台</w:t>
            </w:r>
            <w:r>
              <w:rPr>
                <w:rFonts w:hint="default" w:ascii="Times New Roman" w:hAnsi="Times New Roman" w:eastAsia="仿宋_GB2312" w:cs="Times New Roman"/>
                <w:sz w:val="28"/>
                <w:szCs w:val="28"/>
              </w:rPr>
              <w:t>。建设低空运营中心</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低空能力中心、</w:t>
            </w:r>
            <w:r>
              <w:rPr>
                <w:rFonts w:hint="default" w:ascii="Times New Roman" w:hAnsi="Times New Roman" w:eastAsia="仿宋_GB2312" w:cs="Times New Roman"/>
                <w:sz w:val="28"/>
                <w:szCs w:val="28"/>
              </w:rPr>
              <w:t>飞行服务中心</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低空AI算法训练系统</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低空时空数字底座等。</w:t>
            </w:r>
          </w:p>
          <w:p w14:paraId="7B0FE629">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广州北部湾区（花都）智能网联汽车“车路云一体化”应用试点项目</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eastAsia="zh-CN"/>
              </w:rPr>
              <w:t>投运-20</w:t>
            </w:r>
            <w:r>
              <w:rPr>
                <w:rFonts w:hint="default" w:ascii="Times New Roman" w:hAnsi="Times New Roman" w:eastAsia="仿宋_GB2312" w:cs="Times New Roman"/>
                <w:sz w:val="28"/>
                <w:szCs w:val="28"/>
              </w:rPr>
              <w:t>0台自动驾驶车辆，改造公交、客货约2000辆OBU后装应用</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建设城市级车路协同云控平台、一体化工具库。</w:t>
            </w:r>
          </w:p>
          <w:p w14:paraId="5A5F6D96">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花都区充电桩项目</w:t>
            </w:r>
            <w:r>
              <w:rPr>
                <w:rFonts w:hint="default" w:ascii="Times New Roman" w:hAnsi="Times New Roman" w:eastAsia="仿宋_GB2312" w:cs="Times New Roman"/>
                <w:sz w:val="28"/>
                <w:szCs w:val="28"/>
              </w:rPr>
              <w:t>。打造超充网+生态合作公快网（3000桩）</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充电驻地网（8000桩）</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综合能源微网（80个）。</w:t>
            </w:r>
          </w:p>
          <w:p w14:paraId="3A7C8874">
            <w:pPr>
              <w:spacing w:line="360" w:lineRule="auto"/>
              <w:ind w:firstLine="562" w:firstLineChars="200"/>
              <w:rPr>
                <w:rFonts w:hint="eastAsia" w:ascii="Times New Roman" w:hAnsi="Times New Roman" w:eastAsia="仿宋_GB2312" w:cs="Times New Roman"/>
                <w:sz w:val="28"/>
                <w:szCs w:val="28"/>
                <w:lang w:val="en-US" w:eastAsia="zh-CN"/>
              </w:rPr>
            </w:pPr>
            <w:r>
              <w:rPr>
                <w:rFonts w:hint="default" w:ascii="Times New Roman" w:hAnsi="Times New Roman" w:eastAsia="仿宋_GB2312" w:cs="Times New Roman"/>
                <w:b/>
                <w:bCs/>
                <w:sz w:val="28"/>
                <w:szCs w:val="28"/>
              </w:rPr>
              <w:t>花都区治安视频监控系统建设</w:t>
            </w:r>
            <w:r>
              <w:rPr>
                <w:rFonts w:hint="eastAsia" w:ascii="Times New Roman" w:hAnsi="Times New Roman" w:eastAsia="仿宋_GB2312" w:cs="Times New Roman"/>
                <w:b/>
                <w:bCs/>
                <w:sz w:val="28"/>
                <w:szCs w:val="28"/>
                <w:lang w:val="en-US" w:eastAsia="zh-CN"/>
              </w:rPr>
              <w:t>项目。</w:t>
            </w:r>
            <w:r>
              <w:rPr>
                <w:rFonts w:hint="eastAsia" w:ascii="Times New Roman" w:hAnsi="Times New Roman" w:eastAsia="仿宋_GB2312" w:cs="Times New Roman"/>
                <w:sz w:val="28"/>
                <w:szCs w:val="28"/>
                <w:lang w:val="en-US" w:eastAsia="zh-CN"/>
              </w:rPr>
              <w:t>对全区2550路存量一类点视频前端进行智能化升级改造，把智能前端比例提升至80%以上。</w:t>
            </w:r>
          </w:p>
        </w:tc>
      </w:tr>
    </w:tbl>
    <w:p w14:paraId="48668722">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85" w:name="_Toc10908"/>
      <w:bookmarkStart w:id="86" w:name="_Toc2636"/>
      <w:r>
        <w:rPr>
          <w:rFonts w:hint="default" w:ascii="Times New Roman" w:hAnsi="Times New Roman" w:eastAsia="楷体" w:cs="Times New Roman"/>
          <w:color w:val="000000" w:themeColor="text1"/>
          <w:sz w:val="32"/>
          <w:szCs w:val="32"/>
          <w14:textFill>
            <w14:solidFill>
              <w14:schemeClr w14:val="tx1"/>
            </w14:solidFill>
          </w14:textFill>
        </w:rPr>
        <w:t>（</w:t>
      </w:r>
      <w:r>
        <w:rPr>
          <w:rFonts w:hint="default" w:ascii="Times New Roman" w:hAnsi="Times New Roman" w:eastAsia="楷体" w:cs="Times New Roman"/>
          <w:color w:val="000000" w:themeColor="text1"/>
          <w:sz w:val="32"/>
          <w:szCs w:val="32"/>
          <w:lang w:val="en-US" w:eastAsia="zh-CN"/>
          <w14:textFill>
            <w14:solidFill>
              <w14:schemeClr w14:val="tx1"/>
            </w14:solidFill>
          </w14:textFill>
        </w:rPr>
        <w:t>六</w:t>
      </w:r>
      <w:r>
        <w:rPr>
          <w:rFonts w:hint="default" w:ascii="Times New Roman" w:hAnsi="Times New Roman" w:eastAsia="楷体" w:cs="Times New Roman"/>
          <w:color w:val="000000" w:themeColor="text1"/>
          <w:sz w:val="32"/>
          <w:szCs w:val="32"/>
          <w14:textFill>
            <w14:solidFill>
              <w14:schemeClr w14:val="tx1"/>
            </w14:solidFill>
          </w14:textFill>
        </w:rPr>
        <w:t>）构</w:t>
      </w:r>
      <w:r>
        <w:rPr>
          <w:rFonts w:hint="default" w:ascii="Times New Roman" w:hAnsi="Times New Roman" w:eastAsia="楷体" w:cs="Times New Roman"/>
          <w:color w:val="000000" w:themeColor="text1"/>
          <w:sz w:val="32"/>
          <w:szCs w:val="32"/>
          <w:lang w:val="en-US" w:eastAsia="zh-CN"/>
          <w14:textFill>
            <w14:solidFill>
              <w14:schemeClr w14:val="tx1"/>
            </w14:solidFill>
          </w14:textFill>
        </w:rPr>
        <w:t>建可信数字安全屏障</w:t>
      </w:r>
      <w:bookmarkEnd w:id="85"/>
      <w:bookmarkEnd w:id="86"/>
    </w:p>
    <w:p w14:paraId="04593993">
      <w:pPr>
        <w:widowControl/>
        <w:numPr>
          <w:ilvl w:val="255"/>
          <w:numId w:val="0"/>
        </w:numPr>
        <w:spacing w:line="360" w:lineRule="auto"/>
        <w:ind w:firstLine="643" w:firstLineChars="200"/>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增强网络</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和数据</w:t>
      </w:r>
      <w:r>
        <w:rPr>
          <w:rFonts w:hint="default" w:ascii="Times New Roman" w:hAnsi="Times New Roman" w:eastAsia="仿宋_GB2312" w:cs="Times New Roman"/>
          <w:b/>
          <w:bCs/>
          <w:color w:val="000000" w:themeColor="text1"/>
          <w:sz w:val="32"/>
          <w:szCs w:val="32"/>
          <w14:textFill>
            <w14:solidFill>
              <w14:schemeClr w14:val="tx1"/>
            </w14:solidFill>
          </w14:textFill>
        </w:rPr>
        <w:t>安全防护能力</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构建网络安全纵深防御体系与监测机制，落实全流程监管、安全检查与应急处置，推进系统密码改造、适配迁移与示范应用，强化各类平台基础设施防护。完善数据安全治理体系，构建公共数据全生命周期防护机制，健全风险管控、追溯监管等制度，落地加密、脱敏、溯源等技术，规范数据流通安全管理。</w:t>
      </w:r>
    </w:p>
    <w:p w14:paraId="24F6FC04">
      <w:pPr>
        <w:widowControl/>
        <w:numPr>
          <w:ilvl w:val="255"/>
          <w:numId w:val="0"/>
        </w:numPr>
        <w:spacing w:line="360" w:lineRule="auto"/>
        <w:ind w:firstLine="643" w:firstLineChars="200"/>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强化AI安全保障能力。</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开展人工智能领域安全监管，做好重点企业与项目监测，建立分级分类监管制度，督促大模型企业严守相关法规，同步研判前沿技术安全与伦理风险。同时全面防范应用安全风险，搭建全流程管理监督、风险预警及应急响应体系，完善人工复核机制，夯实算法、数据、基础设施等安全基础，严格落实应用全周期安全评估与内容管控。</w:t>
      </w:r>
    </w:p>
    <w:p w14:paraId="1896AD20">
      <w:pPr>
        <w:numPr>
          <w:ilvl w:val="0"/>
          <w:numId w:val="0"/>
        </w:numPr>
        <w:spacing w:line="360" w:lineRule="auto"/>
        <w:ind w:firstLine="640" w:firstLineChars="200"/>
        <w:outlineLvl w:val="0"/>
        <w:rPr>
          <w:rFonts w:hint="default" w:ascii="Times New Roman" w:hAnsi="Times New Roman" w:eastAsia="黑体" w:cs="Times New Roman"/>
          <w:color w:val="000000" w:themeColor="text1"/>
          <w:sz w:val="32"/>
          <w:szCs w:val="32"/>
          <w14:textFill>
            <w14:solidFill>
              <w14:schemeClr w14:val="tx1"/>
            </w14:solidFill>
          </w14:textFill>
        </w:rPr>
      </w:pPr>
      <w:bookmarkStart w:id="87" w:name="_Toc1609"/>
      <w:bookmarkStart w:id="88" w:name="_Toc15401"/>
      <w:r>
        <w:rPr>
          <w:rFonts w:hint="default" w:ascii="Times New Roman" w:hAnsi="Times New Roman" w:eastAsia="黑体" w:cs="Times New Roman"/>
          <w:color w:val="000000" w:themeColor="text1"/>
          <w:sz w:val="32"/>
          <w:szCs w:val="32"/>
          <w:lang w:val="en-US" w:eastAsia="zh-CN"/>
          <w14:textFill>
            <w14:solidFill>
              <w14:schemeClr w14:val="tx1"/>
            </w14:solidFill>
          </w14:textFill>
        </w:rPr>
        <w:t>四、</w:t>
      </w:r>
      <w:r>
        <w:rPr>
          <w:rFonts w:hint="default" w:ascii="Times New Roman" w:hAnsi="Times New Roman" w:eastAsia="黑体" w:cs="Times New Roman"/>
          <w:color w:val="000000" w:themeColor="text1"/>
          <w:sz w:val="32"/>
          <w:szCs w:val="32"/>
          <w14:textFill>
            <w14:solidFill>
              <w14:schemeClr w14:val="tx1"/>
            </w14:solidFill>
          </w14:textFill>
        </w:rPr>
        <w:t>深化数据要素市场化配置</w:t>
      </w:r>
      <w:bookmarkEnd w:id="76"/>
      <w:r>
        <w:rPr>
          <w:rFonts w:hint="default" w:ascii="Times New Roman" w:hAnsi="Times New Roman" w:eastAsia="黑体" w:cs="Times New Roman"/>
          <w:color w:val="000000" w:themeColor="text1"/>
          <w:sz w:val="32"/>
          <w:szCs w:val="32"/>
          <w14:textFill>
            <w14:solidFill>
              <w14:schemeClr w14:val="tx1"/>
            </w14:solidFill>
          </w14:textFill>
        </w:rPr>
        <w:t>改革</w:t>
      </w:r>
      <w:bookmarkEnd w:id="77"/>
      <w:bookmarkEnd w:id="78"/>
      <w:bookmarkEnd w:id="79"/>
      <w:bookmarkEnd w:id="80"/>
      <w:bookmarkEnd w:id="81"/>
      <w:bookmarkEnd w:id="82"/>
      <w:bookmarkEnd w:id="83"/>
      <w:bookmarkEnd w:id="84"/>
      <w:bookmarkEnd w:id="87"/>
      <w:bookmarkEnd w:id="88"/>
    </w:p>
    <w:p w14:paraId="2610AA4A">
      <w:pPr>
        <w:spacing w:line="360" w:lineRule="auto"/>
        <w:ind w:firstLine="640" w:firstLineChars="200"/>
        <w:outlineLvl w:val="1"/>
        <w:rPr>
          <w:rFonts w:hint="default" w:ascii="Times New Roman" w:hAnsi="Times New Roman" w:eastAsia="仿宋_GB2312" w:cs="Times New Roman"/>
          <w:color w:val="000000" w:themeColor="text1"/>
          <w:sz w:val="32"/>
          <w:szCs w:val="32"/>
          <w14:textFill>
            <w14:solidFill>
              <w14:schemeClr w14:val="tx1"/>
            </w14:solidFill>
          </w14:textFill>
        </w:rPr>
      </w:pPr>
      <w:bookmarkStart w:id="89" w:name="_Toc151"/>
      <w:bookmarkStart w:id="90" w:name="_Toc38"/>
      <w:bookmarkStart w:id="91" w:name="_Toc28243"/>
      <w:bookmarkStart w:id="92" w:name="_Toc10740"/>
      <w:bookmarkStart w:id="93" w:name="_Toc10894"/>
      <w:bookmarkStart w:id="94" w:name="_Toc24906"/>
      <w:bookmarkStart w:id="95" w:name="_Toc7742"/>
      <w:bookmarkStart w:id="96" w:name="_Toc15099"/>
      <w:bookmarkStart w:id="97" w:name="_Toc22256"/>
      <w:bookmarkStart w:id="98" w:name="_Toc18986"/>
      <w:bookmarkStart w:id="99" w:name="_Toc21089"/>
      <w:bookmarkStart w:id="100" w:name="_Toc17997"/>
      <w:bookmarkStart w:id="101" w:name="_Toc3106"/>
      <w:r>
        <w:rPr>
          <w:rFonts w:hint="default" w:ascii="Times New Roman" w:hAnsi="Times New Roman" w:eastAsia="楷体" w:cs="Times New Roman"/>
          <w:color w:val="000000" w:themeColor="text1"/>
          <w:sz w:val="32"/>
          <w:szCs w:val="32"/>
          <w14:textFill>
            <w14:solidFill>
              <w14:schemeClr w14:val="tx1"/>
            </w14:solidFill>
          </w14:textFill>
        </w:rPr>
        <w:t>（一）构建数据资源供给体系</w:t>
      </w:r>
      <w:bookmarkEnd w:id="89"/>
      <w:bookmarkEnd w:id="90"/>
      <w:bookmarkEnd w:id="91"/>
    </w:p>
    <w:p w14:paraId="46943FB2">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健全数据</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标准制度</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14:textFill>
            <w14:solidFill>
              <w14:schemeClr w14:val="tx1"/>
            </w14:solidFill>
          </w14:textFill>
        </w:rPr>
        <w:t>加快制定</w:t>
      </w:r>
      <w:r>
        <w:rPr>
          <w:rFonts w:hint="default" w:ascii="Times New Roman" w:hAnsi="Times New Roman" w:eastAsia="仿宋_GB2312" w:cs="Times New Roman"/>
          <w:color w:val="000000" w:themeColor="text1"/>
          <w:sz w:val="32"/>
          <w:szCs w:val="32"/>
          <w14:textFill>
            <w14:solidFill>
              <w14:schemeClr w14:val="tx1"/>
            </w14:solidFill>
          </w14:textFill>
        </w:rPr>
        <w:t>区级公共数据授权运营实施细则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与探索</w:t>
      </w:r>
      <w:r>
        <w:rPr>
          <w:rFonts w:hint="default" w:ascii="Times New Roman" w:hAnsi="Times New Roman" w:eastAsia="仿宋_GB2312" w:cs="Times New Roman"/>
          <w:color w:val="000000" w:themeColor="text1"/>
          <w:sz w:val="32"/>
          <w:szCs w:val="32"/>
          <w14:textFill>
            <w14:solidFill>
              <w14:schemeClr w14:val="tx1"/>
            </w14:solidFill>
          </w14:textFill>
        </w:rPr>
        <w:t>分配机制。围绕</w:t>
      </w:r>
      <w:r>
        <w:rPr>
          <w:rFonts w:hint="default" w:ascii="Times New Roman" w:hAnsi="Times New Roman" w:eastAsia="仿宋_GB2312" w:cs="Times New Roman"/>
          <w:color w:val="000000" w:themeColor="text1"/>
          <w:sz w:val="32"/>
          <w14:textFill>
            <w14:solidFill>
              <w14:schemeClr w14:val="tx1"/>
            </w14:solidFill>
          </w14:textFill>
        </w:rPr>
        <w:t>数据开发、流通交易、收益分配、安全治理等领域形成制度规范。构建数据全生命周期的治理标准体系，健全基础库、主题库和专题库建设规范，迭代升级公共数据资源目录标准。支持企事业单位参与</w:t>
      </w:r>
      <w:r>
        <w:rPr>
          <w:rFonts w:hint="default" w:ascii="Times New Roman" w:hAnsi="Times New Roman" w:eastAsia="仿宋_GB2312" w:cs="Times New Roman"/>
          <w:color w:val="000000" w:themeColor="text1"/>
          <w:sz w:val="32"/>
          <w:lang w:val="en-US" w:eastAsia="zh-CN"/>
          <w14:textFill>
            <w14:solidFill>
              <w14:schemeClr w14:val="tx1"/>
            </w14:solidFill>
          </w14:textFill>
        </w:rPr>
        <w:t>各级</w:t>
      </w:r>
      <w:r>
        <w:rPr>
          <w:rFonts w:hint="default" w:ascii="Times New Roman" w:hAnsi="Times New Roman" w:eastAsia="仿宋_GB2312" w:cs="Times New Roman"/>
          <w:color w:val="000000" w:themeColor="text1"/>
          <w:sz w:val="32"/>
          <w14:textFill>
            <w14:solidFill>
              <w14:schemeClr w14:val="tx1"/>
            </w14:solidFill>
          </w14:textFill>
        </w:rPr>
        <w:t>数据标准制定与推广，</w:t>
      </w:r>
      <w:r>
        <w:rPr>
          <w:rFonts w:hint="default" w:ascii="Times New Roman" w:hAnsi="Times New Roman" w:eastAsia="仿宋_GB2312" w:cs="Times New Roman"/>
          <w:color w:val="000000" w:themeColor="text1"/>
          <w:sz w:val="32"/>
          <w:szCs w:val="32"/>
          <w14:textFill>
            <w14:solidFill>
              <w14:schemeClr w14:val="tx1"/>
            </w14:solidFill>
          </w14:textFill>
        </w:rPr>
        <w:t>探索建设数据流通标准体系，统一数据共享、开放与交易规范。</w:t>
      </w:r>
      <w:r>
        <w:rPr>
          <w:rFonts w:hint="default" w:ascii="Times New Roman" w:hAnsi="Times New Roman" w:eastAsia="仿宋_GB2312" w:cs="Times New Roman"/>
          <w:color w:val="000000" w:themeColor="text1"/>
          <w:sz w:val="32"/>
          <w14:textFill>
            <w14:solidFill>
              <w14:schemeClr w14:val="tx1"/>
            </w14:solidFill>
          </w14:textFill>
        </w:rPr>
        <w:t>加大数据产权保护、收益分配、跨境流动等创新研究。</w:t>
      </w:r>
    </w:p>
    <w:p w14:paraId="1056CC7E">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14:textFill>
            <w14:solidFill>
              <w14:schemeClr w14:val="tx1"/>
            </w14:solidFill>
          </w14:textFill>
        </w:rPr>
        <w:t>增强数据供给能力。</w:t>
      </w:r>
      <w:r>
        <w:rPr>
          <w:rFonts w:hint="default" w:ascii="Times New Roman" w:hAnsi="Times New Roman" w:eastAsia="仿宋_GB2312" w:cs="Times New Roman"/>
          <w:color w:val="000000" w:themeColor="text1"/>
          <w:sz w:val="32"/>
          <w14:textFill>
            <w14:solidFill>
              <w14:schemeClr w14:val="tx1"/>
            </w14:solidFill>
          </w14:textFill>
        </w:rPr>
        <w:t>依托花都数据中心，健全分级分类管理机制，设立数据共享和开发利用激励约束机制，滚动</w:t>
      </w:r>
      <w:r>
        <w:rPr>
          <w:rFonts w:hint="default" w:ascii="Times New Roman" w:hAnsi="Times New Roman" w:eastAsia="仿宋_GB2312" w:cs="Times New Roman"/>
          <w:color w:val="000000" w:themeColor="text1"/>
          <w:sz w:val="32"/>
          <w:lang w:val="en-US" w:eastAsia="zh-CN"/>
          <w14:textFill>
            <w14:solidFill>
              <w14:schemeClr w14:val="tx1"/>
            </w14:solidFill>
          </w14:textFill>
        </w:rPr>
        <w:t>发布</w:t>
      </w:r>
      <w:r>
        <w:rPr>
          <w:rFonts w:hint="default" w:ascii="Times New Roman" w:hAnsi="Times New Roman" w:eastAsia="仿宋_GB2312" w:cs="Times New Roman"/>
          <w:color w:val="000000" w:themeColor="text1"/>
          <w:sz w:val="32"/>
          <w14:textFill>
            <w14:solidFill>
              <w14:schemeClr w14:val="tx1"/>
            </w14:solidFill>
          </w14:textFill>
        </w:rPr>
        <w:t>政务、交通、医疗等高价值数据清单。</w:t>
      </w:r>
      <w:r>
        <w:rPr>
          <w:rFonts w:hint="default" w:ascii="Times New Roman" w:hAnsi="Times New Roman" w:eastAsia="仿宋_GB2312" w:cs="Times New Roman"/>
          <w:color w:val="000000" w:themeColor="text1"/>
          <w:sz w:val="32"/>
          <w:szCs w:val="32"/>
          <w14:textFill>
            <w14:solidFill>
              <w14:schemeClr w14:val="tx1"/>
            </w14:solidFill>
          </w14:textFill>
        </w:rPr>
        <w:t>推行首席数据官制度，支持开展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DCMM</w:t>
      </w:r>
      <w:r>
        <w:rPr>
          <w:rFonts w:hint="default" w:ascii="Times New Roman" w:hAnsi="Times New Roman" w:eastAsia="仿宋_GB2312" w:cs="Times New Roman"/>
          <w:color w:val="000000" w:themeColor="text1"/>
          <w:sz w:val="32"/>
          <w:szCs w:val="32"/>
          <w14:textFill>
            <w14:solidFill>
              <w14:schemeClr w14:val="tx1"/>
            </w14:solidFill>
          </w14:textFill>
        </w:rPr>
        <w:t>贯标，提升数据标准化水平，满足垂类模型训练语料需求。围绕“12635”现代产业体系打造面向AI的训练数据集、行业数据集、语料库和知识库。以AI+制造、AI+低空、AI+交通、AI+医疗等应用为牵引，推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动覆</w:t>
      </w:r>
      <w:r>
        <w:rPr>
          <w:rFonts w:hint="default" w:ascii="Times New Roman" w:hAnsi="Times New Roman" w:eastAsia="仿宋_GB2312" w:cs="Times New Roman"/>
          <w:color w:val="000000" w:themeColor="text1"/>
          <w:sz w:val="32"/>
          <w:szCs w:val="32"/>
          <w14:textFill>
            <w14:solidFill>
              <w14:schemeClr w14:val="tx1"/>
            </w14:solidFill>
          </w14:textFill>
        </w:rPr>
        <w:t>盖工业制造、低空经济、数字交通、医疗健康等领域的高质量数据集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7946D443">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02" w:name="_Toc1440"/>
      <w:bookmarkStart w:id="103" w:name="_Toc24106"/>
      <w:bookmarkStart w:id="104" w:name="_Toc2985"/>
      <w:r>
        <w:rPr>
          <w:rFonts w:hint="default" w:ascii="Times New Roman" w:hAnsi="Times New Roman" w:eastAsia="楷体" w:cs="Times New Roman"/>
          <w:color w:val="000000" w:themeColor="text1"/>
          <w:sz w:val="32"/>
          <w:szCs w:val="32"/>
          <w14:textFill>
            <w14:solidFill>
              <w14:schemeClr w14:val="tx1"/>
            </w14:solidFill>
          </w14:textFill>
        </w:rPr>
        <w:t>（二）推动数据要素流通交易</w:t>
      </w:r>
      <w:bookmarkEnd w:id="102"/>
      <w:bookmarkEnd w:id="103"/>
      <w:bookmarkEnd w:id="104"/>
    </w:p>
    <w:p w14:paraId="5DCCA13B">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构</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建要</w:t>
      </w:r>
      <w:r>
        <w:rPr>
          <w:rFonts w:hint="default" w:ascii="Times New Roman" w:hAnsi="Times New Roman" w:eastAsia="仿宋_GB2312" w:cs="Times New Roman"/>
          <w:b/>
          <w:bCs/>
          <w:color w:val="000000" w:themeColor="text1"/>
          <w:sz w:val="32"/>
          <w:szCs w:val="32"/>
          <w14:textFill>
            <w14:solidFill>
              <w14:schemeClr w14:val="tx1"/>
            </w14:solidFill>
          </w14:textFill>
        </w:rPr>
        <w:t>素流通与价值转化体系。</w:t>
      </w:r>
      <w:r>
        <w:rPr>
          <w:rFonts w:hint="default" w:ascii="Times New Roman" w:hAnsi="Times New Roman" w:eastAsia="仿宋_GB2312" w:cs="Times New Roman"/>
          <w:color w:val="000000" w:themeColor="text1"/>
          <w:sz w:val="32"/>
          <w:szCs w:val="32"/>
          <w14:textFill>
            <w14:solidFill>
              <w14:schemeClr w14:val="tx1"/>
            </w14:solidFill>
          </w14:textFill>
        </w:rPr>
        <w:t>积极参与省市数据交易体系建设，完善数据资源和产品供需对接机制。依托广州数据交易所打造花都行业特色专区，鼓励场外平台与数据空间接入，推动公共数据、国企数据、</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特色</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数据集</w:t>
      </w:r>
      <w:r>
        <w:rPr>
          <w:rFonts w:hint="default" w:ascii="Times New Roman" w:hAnsi="Times New Roman" w:eastAsia="仿宋_GB2312" w:cs="Times New Roman"/>
          <w:color w:val="000000" w:themeColor="text1"/>
          <w:sz w:val="32"/>
          <w:szCs w:val="32"/>
          <w14:textFill>
            <w14:solidFill>
              <w14:schemeClr w14:val="tx1"/>
            </w14:solidFill>
          </w14:textFill>
        </w:rPr>
        <w:t>等</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多元化</w:t>
      </w:r>
      <w:r>
        <w:rPr>
          <w:rFonts w:hint="default" w:ascii="Times New Roman" w:hAnsi="Times New Roman" w:eastAsia="仿宋_GB2312" w:cs="Times New Roman"/>
          <w:color w:val="000000" w:themeColor="text1"/>
          <w:sz w:val="32"/>
          <w:szCs w:val="32"/>
          <w14:textFill>
            <w14:solidFill>
              <w14:schemeClr w14:val="tx1"/>
            </w14:solidFill>
          </w14:textFill>
        </w:rPr>
        <w:t>产品挂牌交易。构建数据价值评估服务体系</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鼓励金融机构创新数据资产融资授信、数据保险、数据信托等产品，探索公平、高效的价值分配机制，保护各参与方收益。</w:t>
      </w:r>
    </w:p>
    <w:p w14:paraId="1D8B98C4">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培育数据流通服务生态。</w:t>
      </w:r>
      <w:r>
        <w:rPr>
          <w:rFonts w:hint="default" w:ascii="Times New Roman" w:hAnsi="Times New Roman" w:eastAsia="仿宋_GB2312" w:cs="Times New Roman"/>
          <w:color w:val="000000" w:themeColor="text1"/>
          <w:sz w:val="32"/>
          <w:szCs w:val="32"/>
          <w14:textFill>
            <w14:solidFill>
              <w14:schemeClr w14:val="tx1"/>
            </w14:solidFill>
          </w14:textFill>
        </w:rPr>
        <w:t>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AI</w:t>
      </w:r>
      <w:r>
        <w:rPr>
          <w:rFonts w:hint="default" w:ascii="Times New Roman" w:hAnsi="Times New Roman" w:eastAsia="仿宋_GB2312" w:cs="Times New Roman"/>
          <w:color w:val="000000" w:themeColor="text1"/>
          <w:sz w:val="32"/>
          <w:szCs w:val="32"/>
          <w14:textFill>
            <w14:solidFill>
              <w14:schemeClr w14:val="tx1"/>
            </w14:solidFill>
          </w14:textFill>
        </w:rPr>
        <w:t>场景落地为牵引，培育数据开发商、数据服务商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及</w:t>
      </w:r>
      <w:r>
        <w:rPr>
          <w:rFonts w:hint="default" w:ascii="Times New Roman" w:hAnsi="Times New Roman" w:eastAsia="仿宋_GB2312" w:cs="Times New Roman"/>
          <w:color w:val="000000" w:themeColor="text1"/>
          <w:sz w:val="32"/>
          <w:szCs w:val="32"/>
          <w14:textFill>
            <w14:solidFill>
              <w14:schemeClr w14:val="tx1"/>
            </w14:solidFill>
          </w14:textFill>
        </w:rPr>
        <w:t>平台服务商，开展数据清洗、信息抽取、标注、分类等服务，培育本地数据服务市场。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发展第三方专业服务</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聚焦数据经纪、咨询、合规认证、安全审计、质量评价、资产评估、风险评估等领域。支持会计师事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务所</w:t>
      </w:r>
      <w:r>
        <w:rPr>
          <w:rFonts w:hint="default" w:ascii="Times New Roman" w:hAnsi="Times New Roman" w:eastAsia="仿宋_GB2312" w:cs="Times New Roman"/>
          <w:color w:val="000000" w:themeColor="text1"/>
          <w:sz w:val="32"/>
          <w:szCs w:val="32"/>
          <w14:textFill>
            <w14:solidFill>
              <w14:schemeClr w14:val="tx1"/>
            </w14:solidFill>
          </w14:textFill>
        </w:rPr>
        <w:t>提供数据资产识别、计量、入表等服务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支持法律服务、合规审计、评估认证等机构提供数据合规、能力评估、隐私保护等服务。</w:t>
      </w:r>
    </w:p>
    <w:p w14:paraId="4DB29FBA">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05" w:name="_Toc9291"/>
      <w:bookmarkStart w:id="106" w:name="_Toc26412"/>
      <w:bookmarkStart w:id="107" w:name="_Toc23595"/>
      <w:r>
        <w:rPr>
          <w:rFonts w:hint="default" w:ascii="Times New Roman" w:hAnsi="Times New Roman" w:eastAsia="楷体" w:cs="Times New Roman"/>
          <w:color w:val="000000" w:themeColor="text1"/>
          <w:sz w:val="32"/>
          <w:szCs w:val="32"/>
          <w14:textFill>
            <w14:solidFill>
              <w14:schemeClr w14:val="tx1"/>
            </w14:solidFill>
          </w14:textFill>
        </w:rPr>
        <w:t>（三）深化数据要素价值释放</w:t>
      </w:r>
      <w:bookmarkEnd w:id="105"/>
      <w:bookmarkEnd w:id="106"/>
      <w:bookmarkEnd w:id="107"/>
    </w:p>
    <w:p w14:paraId="4C386375">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强化数据资源开发利用。</w:t>
      </w:r>
      <w:r>
        <w:rPr>
          <w:rFonts w:hint="default" w:ascii="Times New Roman" w:hAnsi="Times New Roman" w:eastAsia="仿宋_GB2312" w:cs="Times New Roman"/>
          <w:sz w:val="32"/>
          <w:szCs w:val="32"/>
        </w:rPr>
        <w:t>围绕医疗、低空、文旅、农业等领域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推进公共数据开放与授权运营协同联动，打造公共数据示范场景。</w:t>
      </w:r>
      <w:r>
        <w:rPr>
          <w:rFonts w:hint="default" w:ascii="Times New Roman" w:hAnsi="Times New Roman" w:eastAsia="仿宋_GB2312" w:cs="Times New Roman"/>
          <w:color w:val="000000" w:themeColor="text1"/>
          <w:sz w:val="32"/>
          <w:szCs w:val="32"/>
          <w14:textFill>
            <w14:solidFill>
              <w14:schemeClr w14:val="tx1"/>
            </w14:solidFill>
          </w14:textFill>
        </w:rPr>
        <w:t>培育多元开发主体，鼓励企业参与政务数据创新。依托隐私计算、数据安全流通等技术推动公共数据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社会数据融合。在汽车制造、交通物流、美妆日化、皮具箱包等重点领域发挥龙头企业作用共建开发利用场景，培育创新应用和典型案例。盘活利用国企数据资源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探索市场化激励机制，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降低</w:t>
      </w:r>
      <w:r>
        <w:rPr>
          <w:rFonts w:hint="default" w:ascii="Times New Roman" w:hAnsi="Times New Roman" w:eastAsia="仿宋_GB2312" w:cs="Times New Roman"/>
          <w:color w:val="000000" w:themeColor="text1"/>
          <w:sz w:val="32"/>
          <w:szCs w:val="32"/>
          <w14:textFill>
            <w14:solidFill>
              <w14:schemeClr w14:val="tx1"/>
            </w14:solidFill>
          </w14:textFill>
        </w:rPr>
        <w:t>企业开发利用成本，提升汇数、治数、用数能力。</w:t>
      </w:r>
    </w:p>
    <w:p w14:paraId="662D793A">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推动数据赋能千行百业。</w:t>
      </w:r>
      <w:r>
        <w:rPr>
          <w:rFonts w:hint="default" w:ascii="Times New Roman" w:hAnsi="Times New Roman" w:eastAsia="仿宋_GB2312" w:cs="Times New Roman"/>
          <w:color w:val="000000" w:themeColor="text1"/>
          <w:sz w:val="32"/>
          <w:szCs w:val="32"/>
          <w14:textFill>
            <w14:solidFill>
              <w14:schemeClr w14:val="tx1"/>
            </w14:solidFill>
          </w14:textFill>
        </w:rPr>
        <w:t>聚焦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AI</w:t>
      </w:r>
      <w:r>
        <w:rPr>
          <w:rFonts w:hint="default" w:ascii="Times New Roman" w:hAnsi="Times New Roman" w:eastAsia="仿宋_GB2312" w:cs="Times New Roman"/>
          <w:color w:val="000000" w:themeColor="text1"/>
          <w:sz w:val="32"/>
          <w:szCs w:val="32"/>
          <w14:textFill>
            <w14:solidFill>
              <w14:schemeClr w14:val="tx1"/>
            </w14:solidFill>
          </w14:textFill>
        </w:rPr>
        <w:t>、智能网联、低空经济与航空航天等重点产业，建设一批“数据要素×”典型场景。加大对商贸流通、交通运输、医疗健康、政务服务、工业制造等领域的数据挖掘，打造一批示范带动性强的应用。鼓励本地企事业单位、高校、科研院所等参加“数据要素×”大赛，推动以赛促用，成果转化。深化“数据要素×”与“人工智能+”融合发展，促进数据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AI</w:t>
      </w:r>
      <w:r>
        <w:rPr>
          <w:rFonts w:hint="default" w:ascii="Times New Roman" w:hAnsi="Times New Roman" w:eastAsia="仿宋_GB2312" w:cs="Times New Roman"/>
          <w:color w:val="000000" w:themeColor="text1"/>
          <w:sz w:val="32"/>
          <w:szCs w:val="32"/>
          <w14:textFill>
            <w14:solidFill>
              <w14:schemeClr w14:val="tx1"/>
            </w14:solidFill>
          </w14:textFill>
        </w:rPr>
        <w:t>产业双向协同，大力发展“数据即服务”“知识即服务”“模型即服务”等新业态，赋能产业转型升级。</w:t>
      </w:r>
    </w:p>
    <w:p w14:paraId="1722B362">
      <w:pPr>
        <w:numPr>
          <w:ilvl w:val="0"/>
          <w:numId w:val="0"/>
        </w:numPr>
        <w:spacing w:line="360" w:lineRule="auto"/>
        <w:ind w:firstLine="640" w:firstLineChars="200"/>
        <w:outlineLvl w:val="0"/>
        <w:rPr>
          <w:rFonts w:hint="default" w:ascii="Times New Roman" w:hAnsi="Times New Roman" w:eastAsia="黑体" w:cs="Times New Roman"/>
          <w:color w:val="000000" w:themeColor="text1"/>
          <w:sz w:val="32"/>
          <w:szCs w:val="32"/>
          <w14:textFill>
            <w14:solidFill>
              <w14:schemeClr w14:val="tx1"/>
            </w14:solidFill>
          </w14:textFill>
        </w:rPr>
      </w:pPr>
      <w:bookmarkStart w:id="108" w:name="_Toc19230"/>
      <w:r>
        <w:rPr>
          <w:rFonts w:hint="default" w:ascii="Times New Roman" w:hAnsi="Times New Roman" w:eastAsia="黑体" w:cs="Times New Roman"/>
          <w:color w:val="000000" w:themeColor="text1"/>
          <w:sz w:val="32"/>
          <w:szCs w:val="32"/>
          <w:lang w:val="en-US" w:eastAsia="zh-CN"/>
          <w14:textFill>
            <w14:solidFill>
              <w14:schemeClr w14:val="tx1"/>
            </w14:solidFill>
          </w14:textFill>
        </w:rPr>
        <w:t>五、</w:t>
      </w:r>
      <w:r>
        <w:rPr>
          <w:rFonts w:hint="default" w:ascii="Times New Roman" w:hAnsi="Times New Roman" w:eastAsia="黑体" w:cs="Times New Roman"/>
          <w:color w:val="000000" w:themeColor="text1"/>
          <w:sz w:val="32"/>
          <w:szCs w:val="32"/>
          <w14:textFill>
            <w14:solidFill>
              <w14:schemeClr w14:val="tx1"/>
            </w14:solidFill>
          </w14:textFill>
        </w:rPr>
        <w:t>推动人工智能创新发展与赋能</w:t>
      </w:r>
      <w:bookmarkEnd w:id="92"/>
      <w:bookmarkEnd w:id="93"/>
      <w:bookmarkEnd w:id="94"/>
      <w:bookmarkEnd w:id="108"/>
    </w:p>
    <w:p w14:paraId="35E59363">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09" w:name="_Toc18611"/>
      <w:bookmarkStart w:id="110" w:name="_Toc21392"/>
      <w:bookmarkStart w:id="111" w:name="_Toc5236"/>
      <w:bookmarkStart w:id="112" w:name="_Toc15544"/>
      <w:r>
        <w:rPr>
          <w:rFonts w:hint="default" w:ascii="Times New Roman" w:hAnsi="Times New Roman" w:eastAsia="楷体" w:cs="Times New Roman"/>
          <w:color w:val="000000" w:themeColor="text1"/>
          <w:sz w:val="32"/>
          <w:szCs w:val="32"/>
          <w14:textFill>
            <w14:solidFill>
              <w14:schemeClr w14:val="tx1"/>
            </w14:solidFill>
          </w14:textFill>
        </w:rPr>
        <w:t>（一）加强人工智能数据供给</w:t>
      </w:r>
      <w:bookmarkEnd w:id="109"/>
      <w:bookmarkEnd w:id="110"/>
    </w:p>
    <w:p w14:paraId="59BE0043">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夯实</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AI</w:t>
      </w:r>
      <w:r>
        <w:rPr>
          <w:rFonts w:hint="default" w:ascii="Times New Roman" w:hAnsi="Times New Roman" w:eastAsia="仿宋_GB2312" w:cs="Times New Roman"/>
          <w:b/>
          <w:bCs/>
          <w:color w:val="000000" w:themeColor="text1"/>
          <w:sz w:val="32"/>
          <w:szCs w:val="32"/>
          <w14:textFill>
            <w14:solidFill>
              <w14:schemeClr w14:val="tx1"/>
            </w14:solidFill>
          </w14:textFill>
        </w:rPr>
        <w:t>数据</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底</w:t>
      </w:r>
      <w:r>
        <w:rPr>
          <w:rFonts w:hint="default" w:ascii="Times New Roman" w:hAnsi="Times New Roman" w:eastAsia="仿宋_GB2312" w:cs="Times New Roman"/>
          <w:b/>
          <w:bCs/>
          <w:color w:val="000000" w:themeColor="text1"/>
          <w:sz w:val="32"/>
          <w:szCs w:val="32"/>
          <w14:textFill>
            <w14:solidFill>
              <w14:schemeClr w14:val="tx1"/>
            </w14:solidFill>
          </w14:textFill>
        </w:rPr>
        <w:t>座。</w:t>
      </w:r>
      <w:r>
        <w:rPr>
          <w:rFonts w:hint="default" w:ascii="Times New Roman" w:hAnsi="Times New Roman" w:eastAsia="仿宋_GB2312" w:cs="Times New Roman"/>
          <w:color w:val="000000" w:themeColor="text1"/>
          <w:sz w:val="32"/>
          <w:szCs w:val="32"/>
          <w14:textFill>
            <w14:solidFill>
              <w14:schemeClr w14:val="tx1"/>
            </w14:solidFill>
          </w14:textFill>
        </w:rPr>
        <w:t>聚焦政务服务、城市治理、民生服务等领域建设高质量数据集，支撑大模型训练应用需求。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围绕</w:t>
      </w:r>
      <w:r>
        <w:rPr>
          <w:rFonts w:hint="default" w:ascii="Times New Roman" w:hAnsi="Times New Roman" w:eastAsia="仿宋_GB2312" w:cs="Times New Roman"/>
          <w:color w:val="000000" w:themeColor="text1"/>
          <w:sz w:val="32"/>
          <w:szCs w:val="32"/>
          <w14:textFill>
            <w14:solidFill>
              <w14:schemeClr w14:val="tx1"/>
            </w14:solidFill>
          </w14:textFill>
        </w:rPr>
        <w:t>特色产业，打造行业数据集。面向智能装备、时尚设计、智能制造等领域，打造基础通用、行业通用、行业专用等多层次知识语料库，培育开箱即用的数据语料产品。</w:t>
      </w:r>
    </w:p>
    <w:p w14:paraId="652F0BD7">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培育数据标注新业态。</w:t>
      </w:r>
      <w:r>
        <w:rPr>
          <w:rFonts w:hint="default" w:ascii="Times New Roman" w:hAnsi="Times New Roman" w:eastAsia="仿宋_GB2312" w:cs="Times New Roman"/>
          <w:color w:val="000000" w:themeColor="text1"/>
          <w:sz w:val="32"/>
          <w:szCs w:val="32"/>
          <w14:textFill>
            <w14:solidFill>
              <w14:schemeClr w14:val="tx1"/>
            </w14:solidFill>
          </w14:textFill>
        </w:rPr>
        <w:t>鼓励企业发展数据清洗、数据加工、数据标注、数据集成等新技术，探索AI辅助数据生成、标注、清洗全流程智能化。布局专业化数据标注基地，培育一批深耕行业的数据标注瞪羚企业、独角兽企业，打造具有区域影响力的数据标注基地。</w:t>
      </w:r>
    </w:p>
    <w:p w14:paraId="44078816">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13" w:name="_Toc18982"/>
      <w:bookmarkStart w:id="114" w:name="_Toc9342"/>
      <w:r>
        <w:rPr>
          <w:rFonts w:hint="default" w:ascii="Times New Roman" w:hAnsi="Times New Roman" w:eastAsia="楷体" w:cs="Times New Roman"/>
          <w:color w:val="000000" w:themeColor="text1"/>
          <w:sz w:val="32"/>
          <w:szCs w:val="32"/>
          <w14:textFill>
            <w14:solidFill>
              <w14:schemeClr w14:val="tx1"/>
            </w14:solidFill>
          </w14:textFill>
        </w:rPr>
        <w:t>（二）推动算法模型创新发展</w:t>
      </w:r>
      <w:bookmarkEnd w:id="111"/>
      <w:bookmarkEnd w:id="112"/>
      <w:bookmarkEnd w:id="113"/>
      <w:bookmarkEnd w:id="114"/>
    </w:p>
    <w:p w14:paraId="1BEF95D0">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提升算法能力</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培育开源生态</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引育自然语言处理、计算机视觉、人机交互等通用算法企业。依托华为主流AI开源框架，突破工业质检、自动驾驶感知等垂直领域算法，推动多模态交互算法研发，构建自主可控软硬协同技术体系。鼓励龙头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科研机构参与开源社区，促进数据、模型和工具开放共享，建立开源贡献评价激励机制，将开源贡献纳入高校学分与成果认定，实施开源应用扶持计划，探索普惠高效开源应用新模式。</w:t>
      </w:r>
    </w:p>
    <w:p w14:paraId="488642C8">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发展多层级模型服务。</w:t>
      </w:r>
      <w:r>
        <w:rPr>
          <w:rFonts w:hint="default" w:ascii="Times New Roman" w:hAnsi="Times New Roman" w:eastAsia="仿宋_GB2312" w:cs="Times New Roman"/>
          <w:color w:val="000000" w:themeColor="text1"/>
          <w:sz w:val="32"/>
          <w:szCs w:val="32"/>
          <w14:textFill>
            <w14:solidFill>
              <w14:schemeClr w14:val="tx1"/>
            </w14:solidFill>
          </w14:textFill>
        </w:rPr>
        <w:t>部署支持主流大模型训推理一体化环境，强化通用大模型基础能力，突破高效训练推理与多源异构数据融合技术，构建多模态底座。依托花都新型工业数字化平台培育垂直领域大模型。依托穗智管花都管理平台研发多模态数据与知识深度融合的政务大模型。面向研发设计、运维服务、产品检测、医疗影像等具体场景，开发智能体、应用程序等轻量化、定制化模型产品，实现需求精准对接。</w:t>
      </w:r>
    </w:p>
    <w:p w14:paraId="61BCCBE5">
      <w:pPr>
        <w:spacing w:line="360" w:lineRule="auto"/>
        <w:ind w:left="420" w:left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15" w:name="_Toc13294"/>
      <w:bookmarkStart w:id="116" w:name="_Toc4296"/>
      <w:bookmarkStart w:id="117" w:name="_Toc2567"/>
      <w:bookmarkStart w:id="118" w:name="_Toc31220"/>
      <w:r>
        <w:rPr>
          <w:rFonts w:hint="default" w:ascii="Times New Roman" w:hAnsi="Times New Roman" w:eastAsia="楷体" w:cs="Times New Roman"/>
          <w:color w:val="000000" w:themeColor="text1"/>
          <w:sz w:val="32"/>
          <w:szCs w:val="32"/>
          <w14:textFill>
            <w14:solidFill>
              <w14:schemeClr w14:val="tx1"/>
            </w14:solidFill>
          </w14:textFill>
        </w:rPr>
        <w:t>（三）聚力关键核心技术攻关</w:t>
      </w:r>
      <w:bookmarkEnd w:id="115"/>
      <w:bookmarkEnd w:id="116"/>
      <w:bookmarkEnd w:id="117"/>
      <w:bookmarkEnd w:id="118"/>
    </w:p>
    <w:p w14:paraId="22E6F6D8">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强化</w:t>
      </w:r>
      <w:r>
        <w:rPr>
          <w:rFonts w:hint="default" w:ascii="Times New Roman" w:hAnsi="Times New Roman" w:eastAsia="仿宋_GB2312" w:cs="Times New Roman"/>
          <w:b/>
          <w:bCs/>
          <w:color w:val="000000" w:themeColor="text1"/>
          <w:sz w:val="32"/>
          <w:szCs w:val="32"/>
          <w14:textFill>
            <w14:solidFill>
              <w14:schemeClr w14:val="tx1"/>
            </w14:solidFill>
          </w14:textFill>
        </w:rPr>
        <w:t>数据与AI核心技术</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围绕数据采集汇聚、处理标注等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关键</w:t>
      </w:r>
      <w:r>
        <w:rPr>
          <w:rFonts w:hint="default" w:ascii="Times New Roman" w:hAnsi="Times New Roman" w:eastAsia="仿宋_GB2312" w:cs="Times New Roman"/>
          <w:color w:val="000000" w:themeColor="text1"/>
          <w:sz w:val="32"/>
          <w:szCs w:val="32"/>
          <w14:textFill>
            <w14:solidFill>
              <w14:schemeClr w14:val="tx1"/>
            </w14:solidFill>
          </w14:textFill>
        </w:rPr>
        <w:t>环节，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突破</w:t>
      </w:r>
      <w:r>
        <w:rPr>
          <w:rFonts w:hint="default" w:ascii="Times New Roman" w:hAnsi="Times New Roman" w:eastAsia="仿宋_GB2312" w:cs="Times New Roman"/>
          <w:color w:val="000000" w:themeColor="text1"/>
          <w:sz w:val="32"/>
          <w:szCs w:val="32"/>
          <w14:textFill>
            <w14:solidFill>
              <w14:schemeClr w14:val="tx1"/>
            </w14:solidFill>
          </w14:textFill>
        </w:rPr>
        <w:t>自动化标注、数据合成、高效存储及定制化数据集生产等技术瓶颈。聚焦智能网联汽车、低空经济和具身智能等前沿领域，加强计算机视觉、自然语言处理、多模态数据融合等AI核心技术。励依托国家备案大模型进行二次开发与垂直应用，推动前沿技术在真实场景验证及中小企业推广。</w:t>
      </w:r>
    </w:p>
    <w:p w14:paraId="11989077">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构建</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AI创新转化生态</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联合</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区内科研机构</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AI企业</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与广州周边</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高校共建</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AI</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联合实验室与研发中心，聚焦关键共性技术，发展智能原生技术</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鼓励设立分支机构、创新联合体攻关核心技术</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推动省科学院、西安交大等平台落地</w:t>
      </w:r>
      <w:r>
        <w:rPr>
          <w:rFonts w:hint="default" w:ascii="Times New Roman" w:hAnsi="Times New Roman" w:eastAsia="仿宋_GB2312" w:cs="Times New Roman"/>
          <w:color w:val="000000" w:themeColor="text1"/>
          <w:sz w:val="32"/>
          <w:szCs w:val="32"/>
          <w14:textFill>
            <w14:solidFill>
              <w14:schemeClr w14:val="tx1"/>
            </w14:solidFill>
          </w14:textFill>
        </w:rPr>
        <w:t>。支持企业牵头重点科研任务，培育概念验证和中试验证平台，建立多元成果转化机制，举办AI场景应用大赛，汇聚全球创新资源，促进科技成果在花都高效转化落地。</w:t>
      </w:r>
    </w:p>
    <w:p w14:paraId="6417A06D">
      <w:pPr>
        <w:spacing w:line="360" w:lineRule="auto"/>
        <w:ind w:left="420" w:left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19" w:name="_Toc6018"/>
      <w:bookmarkStart w:id="120" w:name="_Toc17149"/>
      <w:bookmarkStart w:id="121" w:name="_Toc9692"/>
      <w:bookmarkStart w:id="122" w:name="_Toc22049"/>
      <w:r>
        <w:rPr>
          <w:rFonts w:hint="default" w:ascii="Times New Roman" w:hAnsi="Times New Roman" w:eastAsia="楷体" w:cs="Times New Roman"/>
          <w:color w:val="000000" w:themeColor="text1"/>
          <w:sz w:val="32"/>
          <w:szCs w:val="32"/>
          <w14:textFill>
            <w14:solidFill>
              <w14:schemeClr w14:val="tx1"/>
            </w14:solidFill>
          </w14:textFill>
        </w:rPr>
        <w:t>（四）促进人工智能全域赋能</w:t>
      </w:r>
      <w:bookmarkEnd w:id="119"/>
      <w:bookmarkEnd w:id="120"/>
      <w:bookmarkEnd w:id="121"/>
      <w:bookmarkEnd w:id="122"/>
    </w:p>
    <w:p w14:paraId="79727353">
      <w:pPr>
        <w:numPr>
          <w:ilvl w:val="255"/>
          <w:numId w:val="0"/>
        </w:num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深化AI场景规模落地。</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开展“AI+”行动</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聚焦汽车、智能制造、皮具美妆等优势产业，培育工业智能体；推动AI在政务、文旅、医疗、教育、交通等公共服务深度融合，落地无人服务与沉浸式体验；围绕城市管理、应急、环保等领域深化专业场景应用。建立常态化场景需求发布机制，重点打造汽车零部件、临空物流等可复制示范场景，健全供需对接机制，推动AI场景大规模落地。</w:t>
      </w:r>
    </w:p>
    <w:p w14:paraId="36BF2F6A">
      <w:pPr>
        <w:numPr>
          <w:ilvl w:val="255"/>
          <w:numId w:val="0"/>
        </w:num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构建AI应用服务生态。</w:t>
      </w:r>
      <w:r>
        <w:rPr>
          <w:rFonts w:hint="default" w:ascii="Times New Roman" w:hAnsi="Times New Roman" w:eastAsia="仿宋_GB2312" w:cs="Times New Roman"/>
          <w:color w:val="000000" w:themeColor="text1"/>
          <w:sz w:val="32"/>
          <w:szCs w:val="32"/>
          <w14:textFill>
            <w14:solidFill>
              <w14:schemeClr w14:val="tx1"/>
            </w14:solidFill>
          </w14:textFill>
        </w:rPr>
        <w:t>依托国家级制造业转型促进中心，联合之云科技等运营主体，打造集技术咨询、成果转化、知识产权服务于一体的综合科技服务平台，为AI企业提供全生命周期服务。鼓励企业搭建MaaS（模型即服务）、AaaS（智能体即服务）等创新交付模式。探索“单人+AI即公司”的OPC新模式，开发一批适配OPC的轻量化智能工具。</w:t>
      </w:r>
    </w:p>
    <w:bookmarkEnd w:id="95"/>
    <w:bookmarkEnd w:id="96"/>
    <w:bookmarkEnd w:id="97"/>
    <w:bookmarkEnd w:id="98"/>
    <w:bookmarkEnd w:id="99"/>
    <w:bookmarkEnd w:id="100"/>
    <w:bookmarkEnd w:id="101"/>
    <w:p w14:paraId="4FE17623">
      <w:pPr>
        <w:numPr>
          <w:ilvl w:val="0"/>
          <w:numId w:val="0"/>
        </w:numPr>
        <w:spacing w:line="360" w:lineRule="auto"/>
        <w:ind w:firstLine="640" w:firstLineChars="200"/>
        <w:outlineLvl w:val="0"/>
        <w:rPr>
          <w:rFonts w:hint="default" w:ascii="Times New Roman" w:hAnsi="Times New Roman" w:eastAsia="仿宋_GB2312" w:cs="Times New Roman"/>
          <w:color w:val="000000" w:themeColor="text1"/>
          <w:sz w:val="32"/>
          <w:szCs w:val="32"/>
          <w14:textFill>
            <w14:solidFill>
              <w14:schemeClr w14:val="tx1"/>
            </w14:solidFill>
          </w14:textFill>
        </w:rPr>
      </w:pPr>
      <w:bookmarkStart w:id="123" w:name="_Toc23585"/>
      <w:bookmarkStart w:id="124" w:name="_Toc29997"/>
      <w:bookmarkStart w:id="125" w:name="_Toc21611"/>
      <w:bookmarkStart w:id="126" w:name="_Toc315"/>
      <w:bookmarkStart w:id="127" w:name="_Toc4887"/>
      <w:bookmarkStart w:id="128" w:name="_Toc3133"/>
      <w:bookmarkStart w:id="129" w:name="_Toc13110"/>
      <w:bookmarkStart w:id="130" w:name="_Toc29979"/>
      <w:bookmarkStart w:id="131" w:name="_Toc13906"/>
      <w:bookmarkStart w:id="132" w:name="_Toc7307"/>
      <w:bookmarkStart w:id="133" w:name="_Toc1654"/>
      <w:r>
        <w:rPr>
          <w:rFonts w:hint="default" w:ascii="Times New Roman" w:hAnsi="Times New Roman" w:eastAsia="黑体" w:cs="Times New Roman"/>
          <w:color w:val="000000" w:themeColor="text1"/>
          <w:sz w:val="32"/>
          <w:szCs w:val="32"/>
          <w:lang w:val="en-US" w:eastAsia="zh-CN"/>
          <w14:textFill>
            <w14:solidFill>
              <w14:schemeClr w14:val="tx1"/>
            </w14:solidFill>
          </w14:textFill>
        </w:rPr>
        <w:t>六、强化数智赋能驱动全域转型升级</w:t>
      </w:r>
      <w:bookmarkEnd w:id="123"/>
      <w:bookmarkEnd w:id="124"/>
      <w:bookmarkEnd w:id="125"/>
      <w:bookmarkEnd w:id="126"/>
      <w:bookmarkEnd w:id="127"/>
      <w:bookmarkEnd w:id="128"/>
      <w:bookmarkEnd w:id="129"/>
      <w:bookmarkEnd w:id="130"/>
      <w:bookmarkEnd w:id="131"/>
      <w:bookmarkEnd w:id="132"/>
      <w:bookmarkEnd w:id="133"/>
      <w:bookmarkStart w:id="134" w:name="_Toc15576"/>
      <w:bookmarkStart w:id="135" w:name="_Toc13304"/>
    </w:p>
    <w:bookmarkEnd w:id="134"/>
    <w:p w14:paraId="26FB581E">
      <w:pPr>
        <w:numPr>
          <w:ilvl w:val="0"/>
          <w:numId w:val="1"/>
        </w:numPr>
        <w:spacing w:line="360" w:lineRule="auto"/>
        <w:ind w:left="420" w:leftChars="200"/>
        <w:outlineLvl w:val="1"/>
        <w:rPr>
          <w:rFonts w:hint="default" w:ascii="Times New Roman" w:hAnsi="Times New Roman" w:eastAsia="楷体" w:cs="Times New Roman"/>
          <w:color w:val="000000" w:themeColor="text1"/>
          <w:sz w:val="32"/>
          <w:szCs w:val="32"/>
          <w:lang w:val="en-US" w:eastAsia="zh-CN"/>
          <w14:textFill>
            <w14:solidFill>
              <w14:schemeClr w14:val="tx1"/>
            </w14:solidFill>
          </w14:textFill>
        </w:rPr>
      </w:pPr>
      <w:bookmarkStart w:id="136" w:name="_Toc22042"/>
      <w:bookmarkStart w:id="137" w:name="_Toc27381"/>
      <w:bookmarkStart w:id="138" w:name="_Toc31234"/>
      <w:bookmarkStart w:id="139" w:name="_Toc7157"/>
      <w:bookmarkStart w:id="140" w:name="_Toc26303"/>
      <w:bookmarkStart w:id="141" w:name="_Toc4320"/>
      <w:bookmarkStart w:id="142" w:name="_Toc32446"/>
      <w:bookmarkStart w:id="143" w:name="_Toc30023"/>
      <w:bookmarkStart w:id="144" w:name="_Toc26894"/>
      <w:bookmarkStart w:id="145" w:name="_Toc27324"/>
      <w:r>
        <w:rPr>
          <w:rFonts w:hint="default" w:ascii="Times New Roman" w:hAnsi="Times New Roman" w:eastAsia="楷体" w:cs="Times New Roman"/>
          <w:color w:val="000000" w:themeColor="text1"/>
          <w:sz w:val="32"/>
          <w:szCs w:val="32"/>
          <w:lang w:val="en-US" w:eastAsia="zh-CN"/>
          <w14:textFill>
            <w14:solidFill>
              <w14:schemeClr w14:val="tx1"/>
            </w14:solidFill>
          </w14:textFill>
        </w:rPr>
        <w:t>培育富有活力数字经济</w:t>
      </w:r>
      <w:bookmarkEnd w:id="136"/>
      <w:bookmarkEnd w:id="137"/>
    </w:p>
    <w:p w14:paraId="7B350433">
      <w:pPr>
        <w:spacing w:line="360" w:lineRule="auto"/>
        <w:ind w:left="0" w:leftChars="0" w:firstLine="640" w:firstLineChars="200"/>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数智赋能产业转型</w:t>
      </w:r>
      <w:bookmarkEnd w:id="135"/>
      <w:bookmarkEnd w:id="138"/>
      <w:bookmarkEnd w:id="139"/>
      <w:bookmarkEnd w:id="140"/>
      <w:bookmarkEnd w:id="141"/>
      <w:bookmarkEnd w:id="142"/>
      <w:bookmarkEnd w:id="143"/>
      <w:bookmarkEnd w:id="144"/>
      <w:bookmarkEnd w:id="145"/>
    </w:p>
    <w:p w14:paraId="20F37A41">
      <w:pPr>
        <w:spacing w:line="360" w:lineRule="auto"/>
        <w:ind w:firstLine="643" w:firstLineChars="200"/>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推动传统制造业数智改造</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聚焦新能源汽车、声光电、箱包皮具、日化美妆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w:t>
      </w:r>
      <w:r>
        <w:rPr>
          <w:rFonts w:hint="default" w:ascii="Times New Roman" w:hAnsi="Times New Roman" w:eastAsia="仿宋_GB2312" w:cs="Times New Roman"/>
          <w:color w:val="000000" w:themeColor="text1"/>
          <w:sz w:val="32"/>
          <w:szCs w:val="32"/>
          <w14:textFill>
            <w14:solidFill>
              <w14:schemeClr w14:val="tx1"/>
            </w14:solidFill>
          </w14:textFill>
        </w:rPr>
        <w:t>优势产业，实施全产业链数智化改造，推动AI深度嵌入研发设计、生产制造、精准营销等环节，培育定制生产、柔性制造等模式，打造AI标杆示范场景，建设数字化车间与智能工厂。打造AI技术服务平台，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开发轻量化AI工具，</w:t>
      </w:r>
      <w:r>
        <w:rPr>
          <w:rFonts w:hint="default" w:ascii="Times New Roman" w:hAnsi="Times New Roman" w:eastAsia="仿宋_GB2312" w:cs="Times New Roman"/>
          <w:color w:val="000000" w:themeColor="text1"/>
          <w:sz w:val="32"/>
          <w:szCs w:val="32"/>
          <w14:textFill>
            <w14:solidFill>
              <w14:schemeClr w14:val="tx1"/>
            </w14:solidFill>
          </w14:textFill>
        </w:rPr>
        <w:t>提供定制解决方案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定期巡诊服务，降低中小企业应用门槛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促进企业数字化转型</w:t>
      </w:r>
      <w:r>
        <w:rPr>
          <w:rFonts w:hint="default" w:ascii="Times New Roman" w:hAnsi="Times New Roman" w:eastAsia="仿宋_GB2312" w:cs="Times New Roman"/>
          <w:color w:val="000000" w:themeColor="text1"/>
          <w:sz w:val="32"/>
          <w:szCs w:val="32"/>
          <w14:textFill>
            <w14:solidFill>
              <w14:schemeClr w14:val="tx1"/>
            </w14:solidFill>
          </w14:textFill>
        </w:rPr>
        <w:t>。引育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细分行业</w:t>
      </w:r>
      <w:r>
        <w:rPr>
          <w:rFonts w:hint="default" w:ascii="Times New Roman" w:hAnsi="Times New Roman" w:eastAsia="仿宋_GB2312" w:cs="Times New Roman"/>
          <w:color w:val="000000" w:themeColor="text1"/>
          <w:sz w:val="32"/>
          <w:szCs w:val="32"/>
          <w14:textFill>
            <w14:solidFill>
              <w14:schemeClr w14:val="tx1"/>
            </w14:solidFill>
          </w14:textFill>
        </w:rPr>
        <w:t>数字化转型服务商，开发专用模型，提供个性化转型方案。</w:t>
      </w:r>
    </w:p>
    <w:p w14:paraId="633B757F">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推动临空服务业数智升级</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做强花都全球跨境电商数创中心，应用大模型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优化电商服务、</w:t>
      </w:r>
      <w:r>
        <w:rPr>
          <w:rFonts w:hint="default" w:ascii="Times New Roman" w:hAnsi="Times New Roman" w:eastAsia="仿宋_GB2312" w:cs="Times New Roman"/>
          <w:color w:val="000000" w:themeColor="text1"/>
          <w:sz w:val="32"/>
          <w:szCs w:val="32"/>
          <w14:textFill>
            <w14:solidFill>
              <w14:schemeClr w14:val="tx1"/>
            </w14:solidFill>
          </w14:textFill>
        </w:rPr>
        <w:t>跨境核验及供应链风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控</w:t>
      </w:r>
      <w:r>
        <w:rPr>
          <w:rFonts w:hint="default" w:ascii="Times New Roman" w:hAnsi="Times New Roman" w:eastAsia="仿宋_GB2312" w:cs="Times New Roman"/>
          <w:color w:val="000000" w:themeColor="text1"/>
          <w:sz w:val="32"/>
          <w:szCs w:val="32"/>
          <w14:textFill>
            <w14:solidFill>
              <w14:schemeClr w14:val="tx1"/>
            </w14:solidFill>
          </w14:textFill>
        </w:rPr>
        <w:t>，探索AI供应链金融。发展“线上+线下+智能”融合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会展</w:t>
      </w:r>
      <w:r>
        <w:rPr>
          <w:rFonts w:hint="default" w:ascii="Times New Roman" w:hAnsi="Times New Roman" w:eastAsia="仿宋_GB2312" w:cs="Times New Roman"/>
          <w:color w:val="000000" w:themeColor="text1"/>
          <w:sz w:val="32"/>
          <w:szCs w:val="32"/>
          <w14:textFill>
            <w14:solidFill>
              <w14:schemeClr w14:val="tx1"/>
            </w14:solidFill>
          </w14:textFill>
        </w:rPr>
        <w:t>模式，承接琶洲展馆外溢。构建智慧物流平台，推动AI和无人设备应用，支持龙头企业发展壮大，打造智慧物流产业园和零碳数智物流港。建设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多功能电商选品中心</w:t>
      </w:r>
      <w:r>
        <w:rPr>
          <w:rFonts w:hint="default" w:ascii="Times New Roman" w:hAnsi="Times New Roman" w:eastAsia="仿宋_GB2312" w:cs="Times New Roman"/>
          <w:color w:val="000000" w:themeColor="text1"/>
          <w:sz w:val="32"/>
          <w:szCs w:val="32"/>
          <w14:textFill>
            <w14:solidFill>
              <w14:schemeClr w14:val="tx1"/>
            </w14:solidFill>
          </w14:textFill>
        </w:rPr>
        <w:t>，招引AIGC、MCN等配套主体，</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鼓励企业</w:t>
      </w:r>
      <w:r>
        <w:rPr>
          <w:rFonts w:hint="default" w:ascii="Times New Roman" w:hAnsi="Times New Roman" w:eastAsia="仿宋_GB2312" w:cs="Times New Roman"/>
          <w:color w:val="000000" w:themeColor="text1"/>
          <w:sz w:val="32"/>
          <w:szCs w:val="32"/>
          <w14:textFill>
            <w14:solidFill>
              <w14:schemeClr w14:val="tx1"/>
            </w14:solidFill>
          </w14:textFill>
        </w:rPr>
        <w:t>拓展认知推荐、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沉浸式交互</w:t>
      </w:r>
      <w:r>
        <w:rPr>
          <w:rFonts w:hint="default" w:ascii="Times New Roman" w:hAnsi="Times New Roman" w:eastAsia="仿宋_GB2312" w:cs="Times New Roman"/>
          <w:color w:val="000000" w:themeColor="text1"/>
          <w:sz w:val="32"/>
          <w:szCs w:val="32"/>
          <w14:textFill>
            <w14:solidFill>
              <w14:schemeClr w14:val="tx1"/>
            </w14:solidFill>
          </w14:textFill>
        </w:rPr>
        <w:t>等新型消费场景。</w:t>
      </w:r>
    </w:p>
    <w:p w14:paraId="4AA807B2">
      <w:p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推动都市农业数智发展</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推广AI无人农机、智能植保、智能物联等技术，融合低空经济开展农业场景示范，争创国家级现代农业产业园与数字农业试点。打造全区渔业“一张图”和花都农业云平台。</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依托AI大模型开发农业种植助手，提供精准智能农事指导</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打造农产品智能溯源体系。建设“花都农品”电商平台，开展“新农人”培训，与电商平台共建“花都特色馆”，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通过</w:t>
      </w:r>
      <w:r>
        <w:rPr>
          <w:rFonts w:hint="default" w:ascii="Times New Roman" w:hAnsi="Times New Roman" w:eastAsia="仿宋_GB2312" w:cs="Times New Roman"/>
          <w:color w:val="000000" w:themeColor="text1"/>
          <w:sz w:val="32"/>
          <w:szCs w:val="32"/>
          <w14:textFill>
            <w14:solidFill>
              <w14:schemeClr w14:val="tx1"/>
            </w14:solidFill>
          </w14:textFill>
        </w:rPr>
        <w:t>直播节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短视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频等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方式，</w:t>
      </w:r>
      <w:r>
        <w:rPr>
          <w:rFonts w:hint="default" w:ascii="Times New Roman" w:hAnsi="Times New Roman" w:eastAsia="仿宋_GB2312" w:cs="Times New Roman"/>
          <w:color w:val="000000" w:themeColor="text1"/>
          <w:sz w:val="32"/>
          <w:szCs w:val="32"/>
          <w14:textFill>
            <w14:solidFill>
              <w14:schemeClr w14:val="tx1"/>
            </w14:solidFill>
          </w14:textFill>
        </w:rPr>
        <w:t>拓宽线上渠道。</w:t>
      </w:r>
    </w:p>
    <w:tbl>
      <w:tblPr>
        <w:tblStyle w:val="16"/>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0"/>
      </w:tblGrid>
      <w:tr w14:paraId="3585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A590903">
            <w:pPr>
              <w:spacing w:line="360"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28"/>
                <w:szCs w:val="28"/>
              </w:rPr>
              <w:t>专栏</w:t>
            </w:r>
            <w:r>
              <w:rPr>
                <w:rFonts w:hint="default" w:ascii="Times New Roman" w:hAnsi="Times New Roman" w:eastAsia="仿宋_GB2312" w:cs="Times New Roman"/>
                <w:b/>
                <w:bCs/>
                <w:sz w:val="28"/>
                <w:szCs w:val="28"/>
                <w:lang w:val="en-US" w:eastAsia="zh-CN"/>
              </w:rPr>
              <w:t>2</w:t>
            </w:r>
            <w:r>
              <w:rPr>
                <w:rFonts w:hint="default" w:ascii="Times New Roman" w:hAnsi="Times New Roman" w:eastAsia="仿宋_GB2312" w:cs="Times New Roman"/>
                <w:b/>
                <w:bCs/>
                <w:sz w:val="28"/>
                <w:szCs w:val="28"/>
              </w:rPr>
              <w:t xml:space="preserve"> </w:t>
            </w:r>
            <w:r>
              <w:rPr>
                <w:rFonts w:hint="default" w:ascii="Times New Roman" w:hAnsi="Times New Roman" w:eastAsia="仿宋_GB2312" w:cs="Times New Roman"/>
                <w:b/>
                <w:bCs/>
                <w:sz w:val="28"/>
                <w:szCs w:val="28"/>
                <w:lang w:val="en-US" w:eastAsia="zh-CN"/>
              </w:rPr>
              <w:t>产业数智转型升级工程</w:t>
            </w:r>
          </w:p>
        </w:tc>
      </w:tr>
      <w:tr w14:paraId="10D8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5D55943">
            <w:pPr>
              <w:spacing w:line="360" w:lineRule="auto"/>
              <w:ind w:firstLine="562" w:firstLineChars="20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b/>
                <w:bCs/>
                <w:sz w:val="28"/>
                <w:szCs w:val="28"/>
                <w:lang w:val="en-US" w:eastAsia="zh-CN"/>
              </w:rPr>
              <w:t>新型工业化数字服务平台（二期）。</w:t>
            </w:r>
            <w:r>
              <w:rPr>
                <w:rFonts w:hint="eastAsia" w:ascii="Times New Roman" w:hAnsi="Times New Roman" w:eastAsia="仿宋_GB2312" w:cs="Times New Roman"/>
                <w:sz w:val="28"/>
                <w:szCs w:val="28"/>
                <w:lang w:val="en-US" w:eastAsia="zh-CN"/>
              </w:rPr>
              <w:t>推进高质量数据集，行业垂直模型、具身智能概念验证中心建设，升级应用赋能子平台，全新拓展数据融通、两业融合、云边协同与跨境商贸核心载体，全面打通“研产供销服”数据壁垒，建成一站式数字化公共服务枢纽，普惠赋能中小微企业，为区域新型工业化筑牢数字底座。</w:t>
            </w:r>
          </w:p>
          <w:p w14:paraId="2E6E240F">
            <w:pPr>
              <w:spacing w:line="360" w:lineRule="auto"/>
              <w:ind w:firstLine="562" w:firstLineChars="2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bCs/>
                <w:sz w:val="28"/>
                <w:szCs w:val="28"/>
                <w:lang w:val="en-US" w:eastAsia="zh-CN"/>
              </w:rPr>
              <w:t>智慧物流建设工程。</w:t>
            </w:r>
            <w:r>
              <w:rPr>
                <w:rFonts w:hint="default" w:ascii="Times New Roman" w:hAnsi="Times New Roman" w:eastAsia="仿宋_GB2312" w:cs="Times New Roman"/>
                <w:sz w:val="28"/>
                <w:szCs w:val="28"/>
                <w:lang w:eastAsia="zh-CN"/>
              </w:rPr>
              <w:t>推进广州北零碳数智物流港、高捷物流中心、阿里巴巴新零售供应链华南项目建设。通过搭建智慧能源与无人物流系统、配备智能化仓储设施、完善供应链综合运营功能等举措，全面打造零碳智慧物流园区，大力发展跨境电商供应链及全模块跨境物流业务，构建集研发、采购、结算于一体的综合性产业基地，推动物流产业向高端化、智能化、绿色化升级。</w:t>
            </w:r>
          </w:p>
          <w:p w14:paraId="5AA1528A">
            <w:pPr>
              <w:spacing w:line="360" w:lineRule="auto"/>
              <w:ind w:firstLine="562" w:firstLineChars="2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bCs/>
                <w:sz w:val="28"/>
                <w:szCs w:val="28"/>
              </w:rPr>
              <w:t>现代商贸服务提升工程</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sz w:val="28"/>
                <w:szCs w:val="28"/>
              </w:rPr>
              <w:t>大宗商品交易中心打造集现货交易、智能仓储、物流转运及金融配套于一体的综合性平台，配套智能化仓储设施及铁路专用线，搭建数字化交易平台以实现电子签约、在线结算及供应链金融服务，并建设价格指数发布中心。快麦（广州）数字经济产业基地将落地狮岭时尚产业园，布局直播电商、品牌孵化、跨境贸易和结算配送等业态，打造直播电商特色供应链综合体。</w:t>
            </w:r>
          </w:p>
        </w:tc>
      </w:tr>
    </w:tbl>
    <w:p w14:paraId="213F3ED2">
      <w:pPr>
        <w:spacing w:line="360" w:lineRule="auto"/>
        <w:ind w:left="0" w:leftChars="0" w:firstLine="640" w:firstLineChars="200"/>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打造数字产业集群</w:t>
      </w:r>
    </w:p>
    <w:p w14:paraId="72A4A55E">
      <w:pPr>
        <w:widowControl/>
        <w:ind w:firstLine="643" w:firstLineChars="200"/>
        <w:jc w:val="both"/>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壮大数字新兴产业</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发展智能制造，突破智能装备核心技术，推动关键零部件国产化与机器人规模化应用，打造声光电产业园</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发展</w:t>
      </w:r>
      <w:r>
        <w:rPr>
          <w:rFonts w:hint="default" w:ascii="Times New Roman" w:hAnsi="Times New Roman" w:eastAsia="仿宋_GB2312" w:cs="Times New Roman"/>
          <w:color w:val="000000" w:themeColor="text1"/>
          <w:sz w:val="32"/>
          <w:szCs w:val="32"/>
          <w14:textFill>
            <w14:solidFill>
              <w14:schemeClr w14:val="tx1"/>
            </w14:solidFill>
          </w14:textFill>
        </w:rPr>
        <w:t>AI眼镜、AI耳机、AI音响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新型智能终端</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攻关轻量化VR/AR显示、</w:t>
      </w:r>
      <w:r>
        <w:rPr>
          <w:rFonts w:hint="default" w:ascii="Times New Roman" w:hAnsi="Times New Roman" w:eastAsia="仿宋_GB2312" w:cs="Times New Roman"/>
          <w:sz w:val="32"/>
          <w:szCs w:val="32"/>
        </w:rPr>
        <w:t>骨传导</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低功耗AI芯片技术</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。做强</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智能网联新能源汽车</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，突破“三电”及</w:t>
      </w:r>
      <w:r>
        <w:rPr>
          <w:rFonts w:hint="default" w:ascii="Times New Roman" w:hAnsi="Times New Roman" w:eastAsia="仿宋_GB2312" w:cs="Times New Roman"/>
          <w:color w:val="000000" w:themeColor="text1"/>
          <w:sz w:val="32"/>
          <w:szCs w:val="32"/>
          <w14:textFill>
            <w14:solidFill>
              <w14:schemeClr w14:val="tx1"/>
            </w14:solidFill>
          </w14:textFill>
        </w:rPr>
        <w:t>车规级芯片、激光雷达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与</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自动驾驶技术，建设测试验证体系与车路协同平台，完善高附加值服务链条。做优低空经济，攻关飞行器整机与核心零部件，建设数智化服务平台并拓展多元场景。布局生物医药，推动AI赋能新药研发与诊疗，加快智能医疗设备产业化</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p>
    <w:p w14:paraId="228EF7D3">
      <w:pPr>
        <w:numPr>
          <w:ilvl w:val="-1"/>
          <w:numId w:val="0"/>
        </w:numPr>
        <w:spacing w:line="360" w:lineRule="auto"/>
        <w:ind w:firstLine="643" w:firstLineChars="200"/>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发展数字核心产业</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推动数据产业发展，引育重点标注企业并建设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数据标注</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创新平台，构建全链条服务体系；鼓励企业向数据资源企业转型，围绕公共数据运营引培各类数据企业，梯次培育高新技术企业与“专精特新”企业。推动软件与服务业发展，加快AI与工业设计及嵌入式软件融合，打造工业智能软件与新型服务模式；支持企业升级产品并打造工业模型与智能体；发展云计算、大数据领域的智能操作系统与数据库，提升高端软件供给能力。</w:t>
      </w:r>
    </w:p>
    <w:p w14:paraId="7ADAAAD0">
      <w:pPr>
        <w:spacing w:line="360" w:lineRule="auto"/>
        <w:ind w:firstLine="643" w:firstLineChars="200"/>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前瞻布局数字未来产业</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加快布局具身智能产业，依托产业联盟与创新平台，聚焦高精度传感器等核心技术，引育链主企业，打造一体化创新生态。布局前沿新材料产业，引进轻量化合金及碳纤维等项目，</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鼓励</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搭建AI材料创新中心，加速仿生智能与纳米材料研发应用。探索发展脑科学、量子科技与半导体产业，支持多方协同攻关，重点突破脑机接口、量子技术及半导体制备工艺。</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E98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31CD841">
            <w:pPr>
              <w:spacing w:line="360" w:lineRule="auto"/>
              <w:jc w:val="center"/>
              <w:rPr>
                <w:rFonts w:hint="default" w:ascii="Times New Roman" w:hAnsi="Times New Roman" w:eastAsia="仿宋_GB2312" w:cs="Times New Roman"/>
                <w:sz w:val="32"/>
                <w:szCs w:val="32"/>
                <w:lang w:val="en-US"/>
              </w:rPr>
            </w:pPr>
            <w:r>
              <w:rPr>
                <w:rFonts w:hint="default" w:ascii="Times New Roman" w:hAnsi="Times New Roman" w:eastAsia="仿宋_GB2312" w:cs="Times New Roman"/>
                <w:b/>
                <w:bCs/>
                <w:sz w:val="28"/>
                <w:szCs w:val="28"/>
              </w:rPr>
              <w:t>专栏</w:t>
            </w:r>
            <w:r>
              <w:rPr>
                <w:rFonts w:hint="default" w:ascii="Times New Roman" w:hAnsi="Times New Roman" w:eastAsia="仿宋_GB2312" w:cs="Times New Roman"/>
                <w:b/>
                <w:bCs/>
                <w:sz w:val="28"/>
                <w:szCs w:val="28"/>
                <w:lang w:val="en-US" w:eastAsia="zh-CN"/>
              </w:rPr>
              <w:t>3 数字产业集群建设工程</w:t>
            </w:r>
          </w:p>
        </w:tc>
      </w:tr>
      <w:tr w14:paraId="7AB6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E79EA64">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val="en-US" w:eastAsia="zh-CN"/>
              </w:rPr>
              <w:t>智能制造。</w:t>
            </w:r>
            <w:r>
              <w:rPr>
                <w:rFonts w:hint="default" w:ascii="Times New Roman" w:hAnsi="Times New Roman" w:eastAsia="仿宋_GB2312" w:cs="Times New Roman"/>
                <w:b w:val="0"/>
                <w:bCs w:val="0"/>
                <w:sz w:val="28"/>
                <w:szCs w:val="28"/>
              </w:rPr>
              <w:t>花都经济开发区西翼新质智造产业园区</w:t>
            </w:r>
            <w:r>
              <w:rPr>
                <w:rFonts w:hint="default" w:ascii="Times New Roman" w:hAnsi="Times New Roman" w:eastAsia="仿宋_GB2312" w:cs="Times New Roman"/>
                <w:b w:val="0"/>
                <w:bCs w:val="0"/>
                <w:sz w:val="28"/>
                <w:szCs w:val="28"/>
                <w:lang w:eastAsia="zh-CN"/>
              </w:rPr>
              <w:t>，</w:t>
            </w:r>
            <w:r>
              <w:rPr>
                <w:rFonts w:hint="default" w:ascii="Times New Roman" w:hAnsi="Times New Roman" w:eastAsia="仿宋_GB2312" w:cs="Times New Roman"/>
                <w:sz w:val="28"/>
                <w:szCs w:val="28"/>
              </w:rPr>
              <w:t>聚焦新材料、智能机器人、AI人工智能、智能装备等产业，以智能制造、科技创新、产业服务为主导方向，打造集产、创、展、服等功能为一体的生态智慧复合型产业载体。</w:t>
            </w:r>
          </w:p>
          <w:p w14:paraId="0624A907">
            <w:pPr>
              <w:spacing w:line="360" w:lineRule="auto"/>
              <w:ind w:firstLine="562" w:firstLineChars="200"/>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bCs/>
                <w:sz w:val="28"/>
                <w:szCs w:val="28"/>
                <w:lang w:val="en-US" w:eastAsia="zh-CN"/>
              </w:rPr>
              <w:t>智能网联汽车。</w:t>
            </w:r>
            <w:r>
              <w:rPr>
                <w:rFonts w:hint="default" w:ascii="Times New Roman" w:hAnsi="Times New Roman" w:eastAsia="仿宋_GB2312" w:cs="Times New Roman"/>
                <w:b w:val="0"/>
                <w:bCs w:val="0"/>
                <w:sz w:val="28"/>
                <w:szCs w:val="28"/>
                <w:lang w:val="en-US" w:eastAsia="zh-CN"/>
              </w:rPr>
              <w:t>实施新能源车型生产线改造，导入涂胶机器人、AGV输送线等智能装备，全面升级各车间及电池产线，满足多车型混线生产需求。推进东风日产动力总成平台智能化，更新高精度加工设备并实施数字化改造，提升新能源汽车配套能力。建设马瑞利汽车电子研发中心暨扩产项目，拓展智能座舱、创新显示屏等研发业务并导入电子工厂产能。打造滴滴自动驾驶慧桔港，建设集展示、充电、数据平台、维修于一体的无人驾驶运维中心，打造全国智能驾驶运营总部。</w:t>
            </w:r>
          </w:p>
          <w:p w14:paraId="5E35101C">
            <w:pPr>
              <w:spacing w:line="360" w:lineRule="auto"/>
              <w:ind w:firstLine="562" w:firstLineChars="200"/>
              <w:rPr>
                <w:rFonts w:hint="default" w:ascii="Times New Roman" w:hAnsi="Times New Roman" w:eastAsia="仿宋_GB2312" w:cs="Times New Roman"/>
                <w:sz w:val="28"/>
                <w:szCs w:val="28"/>
                <w:lang w:bidi="ar"/>
              </w:rPr>
            </w:pPr>
            <w:r>
              <w:rPr>
                <w:rFonts w:hint="default" w:ascii="Times New Roman" w:hAnsi="Times New Roman" w:eastAsia="仿宋_GB2312" w:cs="Times New Roman"/>
                <w:b/>
                <w:bCs/>
                <w:sz w:val="28"/>
                <w:szCs w:val="28"/>
                <w:lang w:val="en-US" w:eastAsia="zh-CN" w:bidi="ar"/>
              </w:rPr>
              <w:t>低空经济。</w:t>
            </w:r>
            <w:r>
              <w:rPr>
                <w:rFonts w:hint="default" w:ascii="Times New Roman" w:hAnsi="Times New Roman" w:eastAsia="仿宋_GB2312" w:cs="Times New Roman"/>
                <w:b w:val="0"/>
                <w:bCs w:val="0"/>
                <w:sz w:val="28"/>
                <w:szCs w:val="28"/>
                <w:lang w:val="en-US" w:eastAsia="zh-CN" w:bidi="ar"/>
              </w:rPr>
              <w:t>依托</w:t>
            </w:r>
            <w:r>
              <w:rPr>
                <w:rFonts w:hint="default" w:ascii="Times New Roman" w:hAnsi="Times New Roman" w:eastAsia="仿宋_GB2312" w:cs="Times New Roman"/>
                <w:sz w:val="28"/>
                <w:szCs w:val="28"/>
                <w:lang w:bidi="ar"/>
              </w:rPr>
              <w:t>“空中高德”示范基地，建设时空数字底座运营中心</w:t>
            </w:r>
            <w:r>
              <w:rPr>
                <w:rFonts w:hint="default" w:ascii="Times New Roman" w:hAnsi="Times New Roman" w:eastAsia="仿宋_GB2312" w:cs="Times New Roman"/>
                <w:sz w:val="28"/>
                <w:szCs w:val="28"/>
                <w:lang w:val="en-US" w:eastAsia="zh-CN" w:bidi="ar"/>
              </w:rPr>
              <w:t>和</w:t>
            </w:r>
            <w:r>
              <w:rPr>
                <w:rFonts w:hint="default" w:ascii="Times New Roman" w:hAnsi="Times New Roman" w:eastAsia="仿宋_GB2312" w:cs="Times New Roman"/>
                <w:sz w:val="28"/>
                <w:szCs w:val="28"/>
                <w:lang w:bidi="ar"/>
              </w:rPr>
              <w:t>低空经济运营中心</w:t>
            </w:r>
            <w:r>
              <w:rPr>
                <w:rFonts w:hint="default" w:ascii="Times New Roman" w:hAnsi="Times New Roman" w:eastAsia="仿宋_GB2312" w:cs="Times New Roman"/>
                <w:sz w:val="28"/>
                <w:szCs w:val="28"/>
                <w:lang w:eastAsia="zh-CN" w:bidi="ar"/>
              </w:rPr>
              <w:t>，</w:t>
            </w:r>
            <w:r>
              <w:rPr>
                <w:rFonts w:hint="default" w:ascii="Times New Roman" w:hAnsi="Times New Roman" w:eastAsia="仿宋_GB2312" w:cs="Times New Roman"/>
                <w:sz w:val="28"/>
                <w:szCs w:val="28"/>
                <w:lang w:bidi="ar"/>
              </w:rPr>
              <w:t>协助建设省市A类飞行服务站，为低空经济的多元化应用场景构建、数字孪生城区建设提供三维时空数据服务支撑。</w:t>
            </w:r>
          </w:p>
          <w:p w14:paraId="2D49E3EC">
            <w:pPr>
              <w:spacing w:line="360" w:lineRule="auto"/>
              <w:ind w:firstLine="562" w:firstLineChars="200"/>
              <w:rPr>
                <w:rFonts w:hint="default" w:ascii="Times New Roman" w:hAnsi="Times New Roman" w:eastAsia="仿宋_GB2312" w:cs="Times New Roman"/>
                <w:sz w:val="28"/>
                <w:szCs w:val="28"/>
                <w:lang w:bidi="ar"/>
              </w:rPr>
            </w:pPr>
            <w:r>
              <w:rPr>
                <w:rFonts w:hint="default" w:ascii="Times New Roman" w:hAnsi="Times New Roman" w:eastAsia="仿宋_GB2312" w:cs="Times New Roman"/>
                <w:b/>
                <w:bCs/>
                <w:sz w:val="28"/>
                <w:szCs w:val="28"/>
                <w:lang w:val="en-US" w:eastAsia="zh-CN"/>
              </w:rPr>
              <w:t>新材料</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val="0"/>
                <w:bCs w:val="0"/>
                <w:sz w:val="28"/>
                <w:szCs w:val="28"/>
                <w:lang w:val="en-US" w:eastAsia="zh-CN"/>
              </w:rPr>
              <w:t>依托</w:t>
            </w:r>
            <w:r>
              <w:rPr>
                <w:rFonts w:hint="default" w:ascii="Times New Roman" w:hAnsi="Times New Roman" w:eastAsia="仿宋_GB2312" w:cs="Times New Roman"/>
                <w:b w:val="0"/>
                <w:bCs w:val="0"/>
                <w:sz w:val="28"/>
                <w:szCs w:val="28"/>
              </w:rPr>
              <w:t>高端材料智能制造创新园</w:t>
            </w:r>
            <w:r>
              <w:rPr>
                <w:rFonts w:hint="default" w:ascii="Times New Roman" w:hAnsi="Times New Roman" w:eastAsia="仿宋_GB2312" w:cs="Times New Roman"/>
                <w:b w:val="0"/>
                <w:bCs w:val="0"/>
                <w:sz w:val="28"/>
                <w:szCs w:val="28"/>
                <w:lang w:eastAsia="zh-CN"/>
              </w:rPr>
              <w:t>，</w:t>
            </w:r>
            <w:r>
              <w:rPr>
                <w:rFonts w:hint="default" w:ascii="Times New Roman" w:hAnsi="Times New Roman" w:eastAsia="仿宋_GB2312" w:cs="Times New Roman"/>
                <w:sz w:val="28"/>
                <w:szCs w:val="28"/>
              </w:rPr>
              <w:t>聚焦纳米材料、超硬复合材料、生物医用材料、高温合金等方向，</w:t>
            </w:r>
            <w:r>
              <w:rPr>
                <w:rFonts w:hint="default" w:ascii="Times New Roman" w:hAnsi="Times New Roman" w:eastAsia="仿宋_GB2312" w:cs="Times New Roman"/>
                <w:sz w:val="28"/>
                <w:szCs w:val="28"/>
                <w:lang w:val="en-US" w:eastAsia="zh-CN"/>
              </w:rPr>
              <w:t>搭建</w:t>
            </w:r>
            <w:r>
              <w:rPr>
                <w:rFonts w:hint="default" w:ascii="Times New Roman" w:hAnsi="Times New Roman" w:eastAsia="仿宋_GB2312" w:cs="Times New Roman"/>
                <w:sz w:val="28"/>
                <w:szCs w:val="28"/>
              </w:rPr>
              <w:t>数字孪生工厂管理系统、工业元宇宙协同设计平台</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打造“黑灯工厂”示范线，集成AI质检机器人</w:t>
            </w:r>
            <w:r>
              <w:rPr>
                <w:rFonts w:hint="default" w:ascii="Times New Roman" w:hAnsi="Times New Roman" w:eastAsia="仿宋_GB2312" w:cs="Times New Roman"/>
                <w:sz w:val="28"/>
                <w:szCs w:val="28"/>
                <w:lang w:val="en-US" w:eastAsia="zh-CN"/>
              </w:rPr>
              <w:t>和</w:t>
            </w:r>
            <w:r>
              <w:rPr>
                <w:rFonts w:hint="default" w:ascii="Times New Roman" w:hAnsi="Times New Roman" w:eastAsia="仿宋_GB2312" w:cs="Times New Roman"/>
                <w:sz w:val="28"/>
                <w:szCs w:val="28"/>
              </w:rPr>
              <w:t>自主移动物流AGV</w:t>
            </w:r>
            <w:r>
              <w:rPr>
                <w:rFonts w:hint="default" w:ascii="Times New Roman" w:hAnsi="Times New Roman" w:eastAsia="仿宋_GB2312" w:cs="Times New Roman"/>
                <w:sz w:val="28"/>
                <w:szCs w:val="28"/>
                <w:lang w:val="en-US" w:eastAsia="zh-CN"/>
              </w:rPr>
              <w:t>集群</w:t>
            </w:r>
            <w:r>
              <w:rPr>
                <w:rFonts w:hint="default" w:ascii="Times New Roman" w:hAnsi="Times New Roman" w:eastAsia="仿宋_GB2312" w:cs="Times New Roman"/>
                <w:sz w:val="28"/>
                <w:szCs w:val="28"/>
                <w:lang w:eastAsia="zh-CN"/>
              </w:rPr>
              <w:t>，提升新材料领域智能制造与协同研发水平</w:t>
            </w:r>
            <w:r>
              <w:rPr>
                <w:rFonts w:hint="default" w:ascii="Times New Roman" w:hAnsi="Times New Roman" w:eastAsia="仿宋_GB2312" w:cs="Times New Roman"/>
                <w:b w:val="0"/>
                <w:bCs w:val="0"/>
                <w:sz w:val="28"/>
                <w:szCs w:val="28"/>
              </w:rPr>
              <w:t>。</w:t>
            </w:r>
          </w:p>
        </w:tc>
      </w:tr>
    </w:tbl>
    <w:p w14:paraId="3B6CEB51">
      <w:pPr>
        <w:numPr>
          <w:ilvl w:val="0"/>
          <w:numId w:val="2"/>
        </w:numPr>
        <w:spacing w:line="240" w:lineRule="auto"/>
        <w:ind w:left="0" w:leftChars="0" w:firstLine="640" w:firstLineChars="200"/>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bookmarkStart w:id="146" w:name="_Toc31598"/>
      <w:bookmarkStart w:id="147" w:name="_Toc22609"/>
      <w:bookmarkStart w:id="148" w:name="_Toc22719"/>
      <w:bookmarkStart w:id="149" w:name="_Toc16472"/>
      <w:bookmarkStart w:id="150" w:name="_Toc6208"/>
      <w:bookmarkStart w:id="151" w:name="_Toc21335"/>
      <w:bookmarkStart w:id="152" w:name="_Toc14441"/>
      <w:bookmarkStart w:id="153" w:name="_Toc16920"/>
      <w:bookmarkStart w:id="154" w:name="_Toc30431"/>
      <w:r>
        <w:rPr>
          <w:rFonts w:hint="default" w:ascii="Times New Roman" w:hAnsi="Times New Roman" w:eastAsia="仿宋_GB2312" w:cs="Times New Roman"/>
          <w:b w:val="0"/>
          <w:bCs w:val="0"/>
          <w:color w:val="000000" w:themeColor="text1"/>
          <w:sz w:val="32"/>
          <w:szCs w:val="32"/>
          <w14:textFill>
            <w14:solidFill>
              <w14:schemeClr w14:val="tx1"/>
            </w14:solidFill>
          </w14:textFill>
        </w:rPr>
        <w:t>建设数字园区</w:t>
      </w:r>
      <w:bookmarkEnd w:id="146"/>
      <w:bookmarkEnd w:id="147"/>
      <w:bookmarkEnd w:id="148"/>
      <w:bookmarkEnd w:id="149"/>
      <w:bookmarkEnd w:id="150"/>
      <w:bookmarkEnd w:id="151"/>
      <w:bookmarkEnd w:id="152"/>
    </w:p>
    <w:p w14:paraId="26F2F8F5">
      <w:pPr>
        <w:numPr>
          <w:ilvl w:val="255"/>
          <w:numId w:val="0"/>
        </w:numPr>
        <w:spacing w:line="360" w:lineRule="auto"/>
        <w:ind w:firstLine="643" w:firstLineChars="200"/>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bookmarkStart w:id="155" w:name="_Toc14982"/>
      <w:r>
        <w:rPr>
          <w:rFonts w:hint="default" w:ascii="Times New Roman" w:hAnsi="Times New Roman" w:eastAsia="仿宋_GB2312" w:cs="Times New Roman"/>
          <w:b/>
          <w:bCs/>
          <w:color w:val="000000" w:themeColor="text1"/>
          <w:sz w:val="32"/>
          <w:szCs w:val="32"/>
          <w14:textFill>
            <w14:solidFill>
              <w14:schemeClr w14:val="tx1"/>
            </w14:solidFill>
          </w14:textFill>
        </w:rPr>
        <w:t>打造高标准数字园区。</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依托广环投广州北算力中心</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花都湖数字经济</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和创新</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园区完善算力、通信等新型基建，</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打造人工智能特色产业园，并积极</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申报国家高标准数字园区</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同时，</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搭建智慧管理平台，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整合招商引资、项目管理、企业服务、安全环保、经济监测等功能，</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运用数字孪生</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技术</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实现园区全生命周期管控。</w:t>
      </w:r>
    </w:p>
    <w:p w14:paraId="55F8B72F">
      <w:pPr>
        <w:numPr>
          <w:ilvl w:val="255"/>
          <w:numId w:val="0"/>
        </w:numPr>
        <w:spacing w:line="360" w:lineRule="auto"/>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提升园区产业发展能级。</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围绕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人工智能</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特色</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产业园</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大力引育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AI</w:t>
      </w:r>
      <w:r>
        <w:rPr>
          <w:rFonts w:hint="default" w:ascii="Times New Roman" w:hAnsi="Times New Roman" w:eastAsia="仿宋_GB2312" w:cs="Times New Roman"/>
          <w:color w:val="000000" w:themeColor="text1"/>
          <w:sz w:val="32"/>
          <w:szCs w:val="32"/>
          <w14:textFill>
            <w14:solidFill>
              <w14:schemeClr w14:val="tx1"/>
            </w14:solidFill>
          </w14:textFill>
        </w:rPr>
        <w:t>企业及数字化服务商，</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推动汽车零部件、皮具美妆等传统产业智能化改造，</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大力</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14:textFill>
            <w14:solidFill>
              <w14:schemeClr w14:val="tx1"/>
            </w14:solidFill>
          </w14:textFill>
        </w:rPr>
        <w:t>个性定制、协同制造、众包众创等新模式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强化产业链上下游协同协作</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，形成产业集群。</w:t>
      </w:r>
    </w:p>
    <w:p w14:paraId="41985F77">
      <w:pPr>
        <w:numPr>
          <w:ilvl w:val="255"/>
          <w:numId w:val="0"/>
        </w:numPr>
        <w:spacing w:line="360" w:lineRule="auto"/>
        <w:ind w:firstLine="643"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培育OPC众创空间。</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构建链接低成本算力、高质量数据与专业化技术服务的共享社区，降低创业成本，通过</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各类沙龙路演等</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活动，促进创业主体集聚发展</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68772415">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56" w:name="_Toc2761"/>
      <w:r>
        <w:rPr>
          <w:rFonts w:hint="default" w:ascii="Times New Roman" w:hAnsi="Times New Roman" w:eastAsia="楷体" w:cs="Times New Roman"/>
          <w:color w:val="000000" w:themeColor="text1"/>
          <w:sz w:val="32"/>
          <w:szCs w:val="32"/>
          <w:lang w:eastAsia="zh-CN"/>
          <w14:textFill>
            <w14:solidFill>
              <w14:schemeClr w14:val="tx1"/>
            </w14:solidFill>
          </w14:textFill>
        </w:rPr>
        <w:t>（</w:t>
      </w:r>
      <w:r>
        <w:rPr>
          <w:rFonts w:hint="default" w:ascii="Times New Roman" w:hAnsi="Times New Roman" w:eastAsia="楷体"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楷体" w:cs="Times New Roman"/>
          <w:color w:val="000000" w:themeColor="text1"/>
          <w:sz w:val="32"/>
          <w:szCs w:val="32"/>
          <w:lang w:eastAsia="zh-CN"/>
          <w14:textFill>
            <w14:solidFill>
              <w14:schemeClr w14:val="tx1"/>
            </w14:solidFill>
          </w14:textFill>
        </w:rPr>
        <w:t>）</w:t>
      </w:r>
      <w:r>
        <w:rPr>
          <w:rFonts w:hint="default" w:ascii="Times New Roman" w:hAnsi="Times New Roman" w:eastAsia="楷体" w:cs="Times New Roman"/>
          <w:color w:val="000000" w:themeColor="text1"/>
          <w:sz w:val="32"/>
          <w:szCs w:val="32"/>
          <w14:textFill>
            <w14:solidFill>
              <w14:schemeClr w14:val="tx1"/>
            </w14:solidFill>
          </w14:textFill>
        </w:rPr>
        <w:t>打造高效协同数字政府</w:t>
      </w:r>
      <w:bookmarkEnd w:id="155"/>
      <w:bookmarkEnd w:id="156"/>
    </w:p>
    <w:p w14:paraId="4C2B8759">
      <w:pPr>
        <w:pStyle w:val="23"/>
        <w:ind w:firstLine="643" w:firstLineChars="200"/>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数智赋能优化服务水平</w:t>
      </w:r>
      <w:r>
        <w:rPr>
          <w:rFonts w:hint="default" w:ascii="Times New Roman" w:hAnsi="Times New Roman" w:eastAsia="仿宋_GB2312" w:cs="Times New Roman"/>
          <w:color w:val="000000" w:themeColor="text1"/>
          <w:sz w:val="32"/>
          <w:szCs w:val="32"/>
          <w14:textFill>
            <w14:solidFill>
              <w14:schemeClr w14:val="tx1"/>
            </w14:solidFill>
          </w14:textFill>
        </w:rPr>
        <w:t>。常态化推进“高效办成一件事”落地，打造覆盖选址、签约、土地出让、工程建设全阶段的招商引资“一类事”。推进国家级经开区一站式平台建设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深化政务服务事项跨渠道共享与同源管理。推动“花嘟嘟”升级为办事助手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打造智能辅助申报体系</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创新智能受理审批。升级个人和企业专属数字空间，拓展“一企一档”“一人一档”应用。</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打造“AI政策直播间”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完善政策兑现一站式平台功能</w:t>
      </w:r>
      <w:r>
        <w:rPr>
          <w:rFonts w:hint="default" w:ascii="Times New Roman" w:hAnsi="Times New Roman" w:eastAsia="仿宋_GB2312" w:cs="Times New Roman"/>
          <w:color w:val="000000" w:themeColor="text1"/>
          <w:sz w:val="32"/>
          <w:szCs w:val="32"/>
          <w14:textFill>
            <w14:solidFill>
              <w14:schemeClr w14:val="tx1"/>
            </w14:solidFill>
          </w14:textFill>
        </w:rPr>
        <w:t>。部署上线12345热线AI派单员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建立健全“线索发现－内容核实－主动立案－跟踪督办”的闭环机制。完善诉求数据辅助决策机制，开展群体性、趋势性诉求智能分析。</w:t>
      </w:r>
    </w:p>
    <w:p w14:paraId="0CE8E25F">
      <w:pPr>
        <w:spacing w:line="360" w:lineRule="auto"/>
        <w:ind w:firstLine="643" w:firstLineChars="200"/>
        <w:outlineLvl w:val="9"/>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数智赋能提升协作效率</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推进数字机关建设</w:t>
      </w:r>
      <w:r>
        <w:rPr>
          <w:rFonts w:hint="default" w:ascii="Times New Roman" w:hAnsi="Times New Roman" w:eastAsia="仿宋_GB2312" w:cs="Times New Roman"/>
          <w:color w:val="000000" w:themeColor="text1"/>
          <w:sz w:val="32"/>
          <w:szCs w:val="32"/>
          <w14:textFill>
            <w14:solidFill>
              <w14:schemeClr w14:val="tx1"/>
            </w14:solidFill>
          </w14:textFill>
        </w:rPr>
        <w:t>，拓展动态监测、趋势研判等辅助决策服务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打造智能问答、文件智能审核校验、智能拟稿等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场景</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深化“一表通”改革</w:t>
      </w:r>
      <w:r>
        <w:rPr>
          <w:rFonts w:hint="default" w:ascii="Times New Roman" w:hAnsi="Times New Roman" w:eastAsia="仿宋_GB2312" w:cs="Times New Roman"/>
          <w:color w:val="000000" w:themeColor="text1"/>
          <w:sz w:val="32"/>
          <w:szCs w:val="32"/>
          <w14:textFill>
            <w14:solidFill>
              <w14:schemeClr w14:val="tx1"/>
            </w14:solidFill>
          </w14:textFill>
        </w:rPr>
        <w:t>，推动存量报表与标准化历史数据按需导入系统、共享回流。</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深化“块数据”应用</w:t>
      </w:r>
      <w:r>
        <w:rPr>
          <w:rFonts w:hint="default" w:ascii="Times New Roman" w:hAnsi="Times New Roman" w:eastAsia="仿宋_GB2312" w:cs="Times New Roman"/>
          <w:color w:val="000000" w:themeColor="text1"/>
          <w:sz w:val="32"/>
          <w:szCs w:val="32"/>
          <w14:textFill>
            <w14:solidFill>
              <w14:schemeClr w14:val="tx1"/>
            </w14:solidFill>
          </w14:textFill>
        </w:rPr>
        <w:t>，推动人、地、事等多维度数据融通。</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加快人工智能产品和服务向基层延伸</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4E9ACEB8">
      <w:pPr>
        <w:spacing w:line="360" w:lineRule="auto"/>
        <w:ind w:firstLine="643" w:firstLineChars="200"/>
        <w:rPr>
          <w:rFonts w:hint="default" w:ascii="Times New Roman" w:hAnsi="Times New Roman" w:eastAsia="仿宋_GB2312" w:cs="Times New Roman"/>
          <w:color w:val="000000" w:themeColor="text1"/>
          <w:sz w:val="32"/>
          <w:szCs w:val="40"/>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40"/>
          <w14:textFill>
            <w14:solidFill>
              <w14:schemeClr w14:val="tx1"/>
            </w14:solidFill>
          </w14:textFill>
        </w:rPr>
        <w:t>数智赋能</w:t>
      </w:r>
      <w:r>
        <w:rPr>
          <w:rFonts w:hint="default" w:ascii="Times New Roman" w:hAnsi="Times New Roman" w:eastAsia="仿宋_GB2312" w:cs="Times New Roman"/>
          <w:b/>
          <w:bCs/>
          <w:color w:val="000000" w:themeColor="text1"/>
          <w:sz w:val="32"/>
          <w:szCs w:val="40"/>
          <w:lang w:val="en-US" w:eastAsia="zh-CN"/>
          <w14:textFill>
            <w14:solidFill>
              <w14:schemeClr w14:val="tx1"/>
            </w14:solidFill>
          </w14:textFill>
        </w:rPr>
        <w:t>增强</w:t>
      </w:r>
      <w:r>
        <w:rPr>
          <w:rFonts w:hint="default" w:ascii="Times New Roman" w:hAnsi="Times New Roman" w:eastAsia="仿宋_GB2312" w:cs="Times New Roman"/>
          <w:b/>
          <w:bCs/>
          <w:color w:val="000000" w:themeColor="text1"/>
          <w:sz w:val="32"/>
          <w:szCs w:val="40"/>
          <w14:textFill>
            <w14:solidFill>
              <w14:schemeClr w14:val="tx1"/>
            </w14:solidFill>
          </w14:textFill>
        </w:rPr>
        <w:t>治理效能</w:t>
      </w:r>
      <w:r>
        <w:rPr>
          <w:rFonts w:hint="default" w:ascii="Times New Roman" w:hAnsi="Times New Roman" w:eastAsia="仿宋_GB2312" w:cs="Times New Roman"/>
          <w:b/>
          <w:bCs/>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打造花都区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城市运行管理综合态势中心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搭建“一张图”统管子系统、领导驾驶舱子系统、城市治理工作助手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完善</w:t>
      </w:r>
      <w:r>
        <w:rPr>
          <w:rFonts w:hint="default" w:ascii="Times New Roman" w:hAnsi="Times New Roman" w:eastAsia="仿宋_GB2312" w:cs="Times New Roman"/>
          <w:color w:val="000000" w:themeColor="text1"/>
          <w:sz w:val="32"/>
          <w:szCs w:val="40"/>
          <w14:textFill>
            <w14:solidFill>
              <w14:schemeClr w14:val="tx1"/>
            </w14:solidFill>
          </w14:textFill>
        </w:rPr>
        <w:t>环卫、燃气、查违、建废等核心场景应用子系统</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推进</w:t>
      </w:r>
      <w:r>
        <w:rPr>
          <w:rFonts w:hint="default" w:ascii="Times New Roman" w:hAnsi="Times New Roman" w:eastAsia="仿宋_GB2312" w:cs="Times New Roman"/>
          <w:color w:val="000000" w:themeColor="text1"/>
          <w:sz w:val="32"/>
          <w:szCs w:val="32"/>
          <w14:textFill>
            <w14:solidFill>
              <w14:schemeClr w14:val="tx1"/>
            </w14:solidFill>
          </w14:textFill>
        </w:rPr>
        <w:t>应急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数据</w:t>
      </w:r>
      <w:r>
        <w:rPr>
          <w:rFonts w:hint="default" w:ascii="Times New Roman" w:hAnsi="Times New Roman" w:eastAsia="仿宋_GB2312" w:cs="Times New Roman"/>
          <w:color w:val="000000" w:themeColor="text1"/>
          <w:sz w:val="32"/>
          <w:szCs w:val="32"/>
          <w14:textFill>
            <w14:solidFill>
              <w14:schemeClr w14:val="tx1"/>
            </w14:solidFill>
          </w14:textFill>
        </w:rPr>
        <w:t>资源统一汇聚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完善安全风险监测预警平台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加快AI技术在应急响应、指挥调度等场景应用。推进停车设施智能化建设，升级区智慧停车综合管理平台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打造区级智慧交通管理平台</w:t>
      </w:r>
      <w:r>
        <w:rPr>
          <w:rFonts w:hint="default" w:ascii="Times New Roman" w:hAnsi="Times New Roman" w:eastAsia="仿宋_GB2312" w:cs="Times New Roman"/>
          <w:color w:val="000000" w:themeColor="text1"/>
          <w:sz w:val="32"/>
          <w:szCs w:val="40"/>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推动</w:t>
      </w:r>
      <w:r>
        <w:rPr>
          <w:rFonts w:hint="default" w:ascii="Times New Roman" w:hAnsi="Times New Roman" w:eastAsia="仿宋_GB2312" w:cs="Times New Roman"/>
          <w:color w:val="000000" w:themeColor="text1"/>
          <w:sz w:val="32"/>
          <w:szCs w:val="40"/>
          <w14:textFill>
            <w14:solidFill>
              <w14:schemeClr w14:val="tx1"/>
            </w14:solidFill>
          </w14:textFill>
        </w:rPr>
        <w:t>签证作业自动化、退税无纸化等改革</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强化</w:t>
      </w:r>
      <w:r>
        <w:rPr>
          <w:rFonts w:hint="default" w:ascii="Times New Roman" w:hAnsi="Times New Roman" w:eastAsia="仿宋_GB2312" w:cs="Times New Roman"/>
          <w:color w:val="000000" w:themeColor="text1"/>
          <w:sz w:val="32"/>
          <w:szCs w:val="40"/>
          <w14:textFill>
            <w14:solidFill>
              <w14:schemeClr w14:val="tx1"/>
            </w14:solidFill>
          </w14:textFill>
        </w:rPr>
        <w:t>安全智能锁、智慧途中监管等</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应用</w:t>
      </w:r>
      <w:r>
        <w:rPr>
          <w:rFonts w:hint="default" w:ascii="Times New Roman" w:hAnsi="Times New Roman" w:eastAsia="仿宋_GB2312" w:cs="Times New Roman"/>
          <w:color w:val="000000" w:themeColor="text1"/>
          <w:sz w:val="32"/>
          <w:szCs w:val="40"/>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加快</w:t>
      </w:r>
      <w:r>
        <w:rPr>
          <w:rFonts w:hint="default" w:ascii="Times New Roman" w:hAnsi="Times New Roman" w:eastAsia="仿宋_GB2312" w:cs="Times New Roman"/>
          <w:color w:val="000000" w:themeColor="text1"/>
          <w:sz w:val="32"/>
          <w:szCs w:val="40"/>
          <w14:textFill>
            <w14:solidFill>
              <w14:schemeClr w14:val="tx1"/>
            </w14:solidFill>
          </w14:textFill>
        </w:rPr>
        <w:t>出境竹木草制品、进口汽配、进口食品标签整改以及供港活猪、蔬菜等商品的远程监管全覆盖。</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建立生态环境智慧监管体系</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强化污染排放和环境风险监测</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部署水位、雨量、浓度等各类</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感知设备</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p>
    <w:p w14:paraId="4692B55D">
      <w:pPr>
        <w:pStyle w:val="23"/>
        <w:spacing w:line="360" w:lineRule="auto"/>
        <w:ind w:firstLine="643"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数智赋能</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提高</w:t>
      </w:r>
      <w:r>
        <w:rPr>
          <w:rFonts w:hint="default" w:ascii="Times New Roman" w:hAnsi="Times New Roman" w:eastAsia="仿宋_GB2312" w:cs="Times New Roman"/>
          <w:b/>
          <w:bCs/>
          <w:color w:val="000000" w:themeColor="text1"/>
          <w:sz w:val="32"/>
          <w:szCs w:val="32"/>
          <w14:textFill>
            <w14:solidFill>
              <w14:schemeClr w14:val="tx1"/>
            </w14:solidFill>
          </w14:textFill>
        </w:rPr>
        <w:t>决策能力。</w:t>
      </w:r>
      <w:r>
        <w:rPr>
          <w:rFonts w:hint="default" w:ascii="Times New Roman" w:hAnsi="Times New Roman" w:eastAsia="仿宋_GB2312" w:cs="Times New Roman"/>
          <w:color w:val="000000" w:themeColor="text1"/>
          <w:sz w:val="32"/>
          <w:szCs w:val="32"/>
          <w14:textFill>
            <w14:solidFill>
              <w14:schemeClr w14:val="tx1"/>
            </w14:solidFill>
          </w14:textFill>
        </w:rPr>
        <w:t>汇聚群众诉求、网络舆情、矛盾纠纷、应急处置等全要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素，依</w:t>
      </w:r>
      <w:r>
        <w:rPr>
          <w:rFonts w:hint="default" w:ascii="Times New Roman" w:hAnsi="Times New Roman" w:eastAsia="仿宋_GB2312" w:cs="Times New Roman"/>
          <w:color w:val="000000" w:themeColor="text1"/>
          <w:sz w:val="32"/>
          <w:szCs w:val="32"/>
          <w14:textFill>
            <w14:solidFill>
              <w14:schemeClr w14:val="tx1"/>
            </w14:solidFill>
          </w14:textFill>
        </w:rPr>
        <w:t>托民意洞察平台预警大模型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开展智能分析</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深化GI信息管理系统建设</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加强数据汇聚、数据治理与多源融合，拓展智能解析、报告自动生成等应用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建立智能预警模型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探索打造AI招商引资功能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0CA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5B0B762F">
            <w:pPr>
              <w:widowControl/>
              <w:spacing w:line="360" w:lineRule="auto"/>
              <w:ind w:firstLine="562" w:firstLineChars="200"/>
              <w:jc w:val="center"/>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专栏</w:t>
            </w:r>
            <w:r>
              <w:rPr>
                <w:rFonts w:hint="default" w:ascii="Times New Roman" w:hAnsi="Times New Roman" w:eastAsia="仿宋_GB2312" w:cs="Times New Roman"/>
                <w:b/>
                <w:bCs/>
                <w:sz w:val="28"/>
                <w:szCs w:val="28"/>
                <w:lang w:val="en-US" w:eastAsia="zh-CN"/>
              </w:rPr>
              <w:t>4</w:t>
            </w:r>
            <w:r>
              <w:rPr>
                <w:rFonts w:hint="default" w:ascii="Times New Roman" w:hAnsi="Times New Roman" w:eastAsia="仿宋_GB2312" w:cs="Times New Roman"/>
                <w:b/>
                <w:bCs/>
                <w:sz w:val="28"/>
                <w:szCs w:val="28"/>
              </w:rPr>
              <w:t xml:space="preserve"> </w:t>
            </w:r>
            <w:r>
              <w:rPr>
                <w:rFonts w:hint="default" w:ascii="Times New Roman" w:hAnsi="Times New Roman" w:eastAsia="仿宋_GB2312" w:cs="Times New Roman"/>
                <w:b/>
                <w:bCs/>
                <w:sz w:val="28"/>
                <w:szCs w:val="28"/>
                <w:lang w:val="en-US" w:eastAsia="zh-CN"/>
              </w:rPr>
              <w:t>数字政府治理</w:t>
            </w:r>
            <w:r>
              <w:rPr>
                <w:rFonts w:hint="default" w:ascii="Times New Roman" w:hAnsi="Times New Roman" w:eastAsia="仿宋_GB2312" w:cs="Times New Roman"/>
                <w:b/>
                <w:bCs/>
                <w:sz w:val="28"/>
                <w:szCs w:val="28"/>
              </w:rPr>
              <w:t>提升工程</w:t>
            </w:r>
          </w:p>
        </w:tc>
      </w:tr>
      <w:tr w14:paraId="5764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5B67DC14">
            <w:pPr>
              <w:spacing w:line="360" w:lineRule="auto"/>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建设</w:t>
            </w:r>
            <w:r>
              <w:rPr>
                <w:rFonts w:hint="default" w:ascii="Times New Roman" w:hAnsi="Times New Roman" w:eastAsia="仿宋_GB2312" w:cs="Times New Roman"/>
                <w:b/>
                <w:bCs/>
                <w:sz w:val="28"/>
                <w:szCs w:val="28"/>
              </w:rPr>
              <w:t>国家级经开区一站式平台。</w:t>
            </w:r>
            <w:r>
              <w:rPr>
                <w:rFonts w:hint="default" w:ascii="Times New Roman" w:hAnsi="Times New Roman" w:eastAsia="仿宋_GB2312" w:cs="Times New Roman"/>
                <w:sz w:val="28"/>
                <w:szCs w:val="28"/>
                <w:lang w:val="en-US" w:eastAsia="zh-CN"/>
              </w:rPr>
              <w:t>打造</w:t>
            </w:r>
            <w:r>
              <w:rPr>
                <w:rFonts w:hint="default" w:ascii="Times New Roman" w:hAnsi="Times New Roman" w:eastAsia="仿宋_GB2312" w:cs="Times New Roman"/>
                <w:sz w:val="28"/>
                <w:szCs w:val="28"/>
              </w:rPr>
              <w:t>集政务服务、企业服务、数字平台于一体的综合性服务平台，线下配备智能引导设备、双语服务窗口及人才服务基地，线上开发数字化平台。</w:t>
            </w:r>
          </w:p>
          <w:p w14:paraId="38A08CD9">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智慧城管</w:t>
            </w:r>
            <w:r>
              <w:rPr>
                <w:rFonts w:hint="default" w:ascii="Times New Roman" w:hAnsi="Times New Roman" w:eastAsia="仿宋_GB2312" w:cs="Times New Roman"/>
                <w:sz w:val="28"/>
                <w:szCs w:val="28"/>
              </w:rPr>
              <w:t>。升级环卫作业监管、垃圾收运监管、环卫一张图、生活垃圾收费系统。升级渣土车AI智能分析平台。</w:t>
            </w:r>
            <w:r>
              <w:rPr>
                <w:rFonts w:hint="default" w:ascii="Times New Roman" w:hAnsi="Times New Roman" w:eastAsia="仿宋_GB2312" w:cs="Times New Roman"/>
                <w:sz w:val="28"/>
                <w:szCs w:val="28"/>
                <w:lang w:val="en-US" w:eastAsia="zh-CN"/>
              </w:rPr>
              <w:t>建设</w:t>
            </w:r>
            <w:r>
              <w:rPr>
                <w:rFonts w:hint="default" w:ascii="Times New Roman" w:hAnsi="Times New Roman" w:eastAsia="仿宋_GB2312" w:cs="Times New Roman"/>
                <w:sz w:val="28"/>
                <w:szCs w:val="28"/>
              </w:rPr>
              <w:t>巡查记录管理、视频线索审核及AI情景配置模块。构建覆盖充装、配送、巡检各环节的智慧燃气监管体系。依托无人机巡查、违建视频数据</w:t>
            </w:r>
            <w:r>
              <w:rPr>
                <w:rFonts w:hint="default" w:ascii="Times New Roman" w:hAnsi="Times New Roman" w:eastAsia="仿宋_GB2312" w:cs="Times New Roman"/>
                <w:sz w:val="28"/>
                <w:szCs w:val="28"/>
                <w:lang w:val="en-US" w:eastAsia="zh-CN"/>
              </w:rPr>
              <w:t>等</w:t>
            </w:r>
            <w:r>
              <w:rPr>
                <w:rFonts w:hint="default" w:ascii="Times New Roman" w:hAnsi="Times New Roman" w:eastAsia="仿宋_GB2312" w:cs="Times New Roman"/>
                <w:sz w:val="28"/>
                <w:szCs w:val="28"/>
              </w:rPr>
              <w:t>开展智慧查违。</w:t>
            </w:r>
          </w:p>
          <w:p w14:paraId="4483DDE8">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智慧停车</w:t>
            </w:r>
            <w:r>
              <w:rPr>
                <w:rFonts w:hint="default" w:ascii="Times New Roman" w:hAnsi="Times New Roman" w:eastAsia="仿宋_GB2312" w:cs="Times New Roman"/>
                <w:sz w:val="28"/>
                <w:szCs w:val="28"/>
              </w:rPr>
              <w:t>。部署摄像机、违停智能抓拍球机等感知设备，优化违停抓拍系统、路内停车位系统、ETC收费系统、停车诱导系统等，推动重点</w:t>
            </w:r>
            <w:r>
              <w:rPr>
                <w:rFonts w:hint="default" w:ascii="Times New Roman" w:hAnsi="Times New Roman" w:eastAsia="仿宋_GB2312" w:cs="Times New Roman"/>
                <w:sz w:val="28"/>
                <w:szCs w:val="28"/>
                <w:lang w:val="en-US" w:eastAsia="zh-CN"/>
              </w:rPr>
              <w:t>场所</w:t>
            </w:r>
            <w:r>
              <w:rPr>
                <w:rFonts w:hint="default" w:ascii="Times New Roman" w:hAnsi="Times New Roman" w:eastAsia="仿宋_GB2312" w:cs="Times New Roman"/>
                <w:sz w:val="28"/>
                <w:szCs w:val="28"/>
              </w:rPr>
              <w:t>智慧停车场建设。</w:t>
            </w:r>
          </w:p>
        </w:tc>
      </w:tr>
      <w:bookmarkEnd w:id="153"/>
      <w:bookmarkEnd w:id="154"/>
    </w:tbl>
    <w:p w14:paraId="212D7852">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57" w:name="_Toc31224"/>
      <w:bookmarkStart w:id="158" w:name="_Toc23594"/>
      <w:bookmarkStart w:id="159" w:name="_Toc17331"/>
      <w:bookmarkStart w:id="160" w:name="_Toc15820"/>
      <w:bookmarkStart w:id="161" w:name="_Toc24581"/>
      <w:bookmarkStart w:id="162" w:name="_Toc25952"/>
      <w:bookmarkStart w:id="163" w:name="_Toc5994"/>
      <w:bookmarkStart w:id="164" w:name="_Toc23471"/>
      <w:bookmarkStart w:id="165" w:name="_Toc2619"/>
      <w:bookmarkStart w:id="166" w:name="_Toc28696"/>
      <w:bookmarkStart w:id="167" w:name="_Toc17519"/>
      <w:r>
        <w:rPr>
          <w:rFonts w:hint="default" w:ascii="Times New Roman" w:hAnsi="Times New Roman" w:eastAsia="楷体" w:cs="Times New Roman"/>
          <w:color w:val="000000" w:themeColor="text1"/>
          <w:sz w:val="32"/>
          <w:szCs w:val="32"/>
          <w:lang w:eastAsia="zh-CN"/>
          <w14:textFill>
            <w14:solidFill>
              <w14:schemeClr w14:val="tx1"/>
            </w14:solidFill>
          </w14:textFill>
        </w:rPr>
        <w:t>（</w:t>
      </w:r>
      <w:r>
        <w:rPr>
          <w:rFonts w:hint="default" w:ascii="Times New Roman" w:hAnsi="Times New Roman" w:eastAsia="楷体" w:cs="Times New Roman"/>
          <w:color w:val="000000" w:themeColor="text1"/>
          <w:sz w:val="32"/>
          <w:szCs w:val="32"/>
          <w:lang w:val="en-US" w:eastAsia="zh-CN"/>
          <w14:textFill>
            <w14:solidFill>
              <w14:schemeClr w14:val="tx1"/>
            </w14:solidFill>
          </w14:textFill>
        </w:rPr>
        <w:t>三</w:t>
      </w:r>
      <w:r>
        <w:rPr>
          <w:rFonts w:hint="default" w:ascii="Times New Roman" w:hAnsi="Times New Roman" w:eastAsia="楷体" w:cs="Times New Roman"/>
          <w:color w:val="000000" w:themeColor="text1"/>
          <w:sz w:val="32"/>
          <w:szCs w:val="32"/>
          <w:lang w:eastAsia="zh-CN"/>
          <w14:textFill>
            <w14:solidFill>
              <w14:schemeClr w14:val="tx1"/>
            </w14:solidFill>
          </w14:textFill>
        </w:rPr>
        <w:t>）</w:t>
      </w:r>
      <w:r>
        <w:rPr>
          <w:rFonts w:hint="default" w:ascii="Times New Roman" w:hAnsi="Times New Roman" w:eastAsia="楷体" w:cs="Times New Roman"/>
          <w:color w:val="000000" w:themeColor="text1"/>
          <w:sz w:val="32"/>
          <w:szCs w:val="32"/>
          <w14:textFill>
            <w14:solidFill>
              <w14:schemeClr w14:val="tx1"/>
            </w14:solidFill>
          </w14:textFill>
        </w:rPr>
        <w:t>构建普惠便捷数字社会</w:t>
      </w:r>
      <w:bookmarkEnd w:id="157"/>
      <w:bookmarkEnd w:id="158"/>
    </w:p>
    <w:bookmarkEnd w:id="159"/>
    <w:bookmarkEnd w:id="160"/>
    <w:bookmarkEnd w:id="161"/>
    <w:bookmarkEnd w:id="162"/>
    <w:bookmarkEnd w:id="163"/>
    <w:bookmarkEnd w:id="164"/>
    <w:bookmarkEnd w:id="165"/>
    <w:bookmarkEnd w:id="166"/>
    <w:bookmarkEnd w:id="167"/>
    <w:p w14:paraId="54B9F20C">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bookmarkStart w:id="168" w:name="_Toc1178"/>
      <w:bookmarkStart w:id="169" w:name="_Toc3554"/>
      <w:r>
        <w:rPr>
          <w:rFonts w:hint="default" w:ascii="Times New Roman" w:hAnsi="Times New Roman" w:eastAsia="仿宋_GB2312" w:cs="Times New Roman"/>
          <w:b/>
          <w:bCs/>
          <w:color w:val="000000" w:themeColor="text1"/>
          <w:sz w:val="32"/>
          <w:szCs w:val="40"/>
          <w14:textFill>
            <w14:solidFill>
              <w14:schemeClr w14:val="tx1"/>
            </w14:solidFill>
          </w14:textFill>
        </w:rPr>
        <w:t>强化高效便民公共服务</w:t>
      </w:r>
      <w:r>
        <w:rPr>
          <w:rFonts w:hint="default" w:ascii="Times New Roman" w:hAnsi="Times New Roman" w:eastAsia="仿宋_GB2312" w:cs="Times New Roman"/>
          <w:color w:val="000000" w:themeColor="text1"/>
          <w:sz w:val="32"/>
          <w:szCs w:val="40"/>
          <w14:textFill>
            <w14:solidFill>
              <w14:schemeClr w14:val="tx1"/>
            </w14:solidFill>
          </w14:textFill>
        </w:rPr>
        <w:t>。实施教师信息素养提升行动，</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打造</w:t>
      </w:r>
      <w:r>
        <w:rPr>
          <w:rFonts w:hint="default" w:ascii="Times New Roman" w:hAnsi="Times New Roman" w:eastAsia="仿宋_GB2312" w:cs="Times New Roman"/>
          <w:color w:val="000000" w:themeColor="text1"/>
          <w:sz w:val="32"/>
          <w:szCs w:val="40"/>
          <w14:textFill>
            <w14:solidFill>
              <w14:schemeClr w14:val="tx1"/>
            </w14:solidFill>
          </w14:textFill>
        </w:rPr>
        <w:t>AI数字课堂标杆校</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完善智慧教育平台</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功能与基础设施建设</w:t>
      </w:r>
      <w:r>
        <w:rPr>
          <w:rFonts w:hint="default" w:ascii="Times New Roman" w:hAnsi="Times New Roman" w:eastAsia="仿宋_GB2312" w:cs="Times New Roman"/>
          <w:color w:val="000000" w:themeColor="text1"/>
          <w:sz w:val="32"/>
          <w:szCs w:val="40"/>
          <w14:textFill>
            <w14:solidFill>
              <w14:schemeClr w14:val="tx1"/>
            </w14:solidFill>
          </w14:textFill>
        </w:rPr>
        <w:t>。加快AI在智能辅助诊疗、影像诊断、智慧药房等应用</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建设AI健康智慧创新平台与慢病管理系统，推动就医刷脸无感支付。</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鼓励养老机构建设全流程智慧养老项目，推</w:t>
      </w:r>
      <w:r>
        <w:rPr>
          <w:rFonts w:hint="default" w:ascii="Times New Roman" w:hAnsi="Times New Roman" w:eastAsia="仿宋_GB2312" w:cs="Times New Roman"/>
          <w:b w:val="0"/>
          <w:bCs w:val="0"/>
          <w:color w:val="000000" w:themeColor="text1"/>
          <w:sz w:val="32"/>
          <w:szCs w:val="40"/>
          <w:lang w:val="en-US" w:eastAsia="zh-CN"/>
          <w14:textFill>
            <w14:solidFill>
              <w14:schemeClr w14:val="tx1"/>
            </w14:solidFill>
          </w14:textFill>
        </w:rPr>
        <w:t>广</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可穿戴设备、服务机器人等</w:t>
      </w:r>
      <w:r>
        <w:rPr>
          <w:rFonts w:hint="default" w:ascii="Times New Roman" w:hAnsi="Times New Roman" w:eastAsia="仿宋_GB2312" w:cs="Times New Roman"/>
          <w:b w:val="0"/>
          <w:bCs w:val="0"/>
          <w:color w:val="000000" w:themeColor="text1"/>
          <w:sz w:val="32"/>
          <w:szCs w:val="40"/>
          <w:lang w:val="en-US" w:eastAsia="zh-CN"/>
          <w14:textFill>
            <w14:solidFill>
              <w14:schemeClr w14:val="tx1"/>
            </w14:solidFill>
          </w14:textFill>
        </w:rPr>
        <w:t>养老</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设备</w:t>
      </w:r>
      <w:r>
        <w:rPr>
          <w:rFonts w:hint="default" w:ascii="Times New Roman" w:hAnsi="Times New Roman" w:eastAsia="仿宋_GB2312" w:cs="Times New Roman"/>
          <w:b w:val="0"/>
          <w:bCs w:val="0"/>
          <w:color w:val="000000" w:themeColor="text1"/>
          <w:sz w:val="32"/>
          <w:szCs w:val="40"/>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40"/>
          <w14:textFill>
            <w14:solidFill>
              <w14:schemeClr w14:val="tx1"/>
            </w14:solidFill>
          </w14:textFill>
        </w:rPr>
        <w:t>“花城照护”小程序</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深化陪诊服务。升级“花智聘”就业平台，基于AI技术提升岗位智能匹配水平</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持续完善花都区“人才管家”线上服务平台。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0"/>
      </w:tblGrid>
      <w:tr w14:paraId="3869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12789E9F">
            <w:pPr>
              <w:widowControl/>
              <w:spacing w:line="360" w:lineRule="auto"/>
              <w:ind w:firstLine="562" w:firstLineChars="200"/>
              <w:jc w:val="center"/>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专栏</w:t>
            </w:r>
            <w:r>
              <w:rPr>
                <w:rFonts w:hint="default" w:ascii="Times New Roman" w:hAnsi="Times New Roman" w:eastAsia="仿宋_GB2312" w:cs="Times New Roman"/>
                <w:b/>
                <w:bCs/>
                <w:sz w:val="28"/>
                <w:szCs w:val="28"/>
                <w:lang w:val="en-US" w:eastAsia="zh-CN"/>
              </w:rPr>
              <w:t>5</w:t>
            </w:r>
            <w:r>
              <w:rPr>
                <w:rFonts w:hint="default" w:ascii="Times New Roman" w:hAnsi="Times New Roman" w:eastAsia="仿宋_GB2312" w:cs="Times New Roman"/>
                <w:b/>
                <w:bCs/>
                <w:sz w:val="28"/>
                <w:szCs w:val="28"/>
              </w:rPr>
              <w:t xml:space="preserve"> 公共服务提升工程</w:t>
            </w:r>
          </w:p>
        </w:tc>
      </w:tr>
      <w:tr w14:paraId="4D8F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52B38F59">
            <w:pPr>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教育数字化建设工程</w:t>
            </w:r>
            <w:r>
              <w:rPr>
                <w:rFonts w:hint="default" w:ascii="Times New Roman" w:hAnsi="Times New Roman" w:eastAsia="仿宋_GB2312" w:cs="Times New Roman"/>
                <w:sz w:val="28"/>
                <w:szCs w:val="28"/>
              </w:rPr>
              <w:t>。建设1个区级人工智能教育中心，整合教育大数据治理与智能驾驶舱功能，实现全区学校教学资源的统一管理与高效共享，建设AI赋能示范校20间和无感知AI教室50间。</w:t>
            </w:r>
          </w:p>
        </w:tc>
      </w:tr>
      <w:bookmarkEnd w:id="168"/>
      <w:bookmarkEnd w:id="169"/>
    </w:tbl>
    <w:p w14:paraId="1A91F2C9">
      <w:pPr>
        <w:spacing w:line="360" w:lineRule="auto"/>
        <w:ind w:firstLine="643" w:firstLineChars="200"/>
        <w:outlineLvl w:val="9"/>
        <w:rPr>
          <w:rFonts w:hint="default" w:ascii="Times New Roman" w:hAnsi="Times New Roman" w:eastAsia="仿宋_GB2312" w:cs="Times New Roman"/>
          <w:color w:val="000000" w:themeColor="text1"/>
          <w:sz w:val="32"/>
          <w:szCs w:val="40"/>
          <w14:textFill>
            <w14:solidFill>
              <w14:schemeClr w14:val="tx1"/>
            </w14:solidFill>
          </w14:textFill>
        </w:rPr>
      </w:pPr>
      <w:bookmarkStart w:id="170" w:name="_Toc1346"/>
      <w:bookmarkStart w:id="171" w:name="_Toc25299"/>
      <w:bookmarkStart w:id="172" w:name="_Toc23380"/>
      <w:bookmarkStart w:id="173" w:name="_Toc21771"/>
      <w:bookmarkStart w:id="174" w:name="_Toc3522"/>
      <w:bookmarkStart w:id="175" w:name="_Toc24113"/>
      <w:bookmarkStart w:id="176" w:name="_Toc2983"/>
      <w:bookmarkStart w:id="177" w:name="_Toc8231"/>
      <w:bookmarkStart w:id="178" w:name="_Toc8415"/>
      <w:r>
        <w:rPr>
          <w:rFonts w:hint="default" w:ascii="Times New Roman" w:hAnsi="Times New Roman" w:eastAsia="仿宋_GB2312" w:cs="Times New Roman"/>
          <w:b/>
          <w:bCs/>
          <w:color w:val="000000" w:themeColor="text1"/>
          <w:sz w:val="32"/>
          <w:szCs w:val="40"/>
          <w14:textFill>
            <w14:solidFill>
              <w14:schemeClr w14:val="tx1"/>
            </w14:solidFill>
          </w14:textFill>
        </w:rPr>
        <w:t>打造智能美好数字生活</w:t>
      </w:r>
      <w:r>
        <w:rPr>
          <w:rFonts w:hint="default" w:ascii="Times New Roman" w:hAnsi="Times New Roman" w:eastAsia="仿宋_GB2312" w:cs="Times New Roman"/>
          <w:b/>
          <w:bCs/>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推进住区公共设施数智化改造</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以平龙新时代社区为切入口建成数字未来社区全国典范。强化社区治理，</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提升</w:t>
      </w:r>
      <w:r>
        <w:rPr>
          <w:rFonts w:hint="default" w:ascii="Times New Roman" w:hAnsi="Times New Roman" w:eastAsia="仿宋_GB2312" w:cs="Times New Roman"/>
          <w:color w:val="000000" w:themeColor="text1"/>
          <w:sz w:val="32"/>
          <w:szCs w:val="40"/>
          <w14:textFill>
            <w14:solidFill>
              <w14:schemeClr w14:val="tx1"/>
            </w14:solidFill>
          </w14:textFill>
        </w:rPr>
        <w:t>基层事件精准分析和联动处置能力，探索“AI社工”。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14:textFill>
            <w14:solidFill>
              <w14:schemeClr w14:val="tx1"/>
            </w14:solidFill>
          </w14:textFill>
        </w:rPr>
        <w:t>非遗数字特色库与VR云展厅，</w:t>
      </w:r>
      <w:r>
        <w:rPr>
          <w:rFonts w:hint="default" w:ascii="Times New Roman" w:hAnsi="Times New Roman" w:eastAsia="仿宋_GB2312" w:cs="Times New Roman"/>
          <w:color w:val="000000" w:themeColor="text1"/>
          <w:sz w:val="32"/>
          <w:szCs w:val="40"/>
          <w14:textFill>
            <w14:solidFill>
              <w14:schemeClr w14:val="tx1"/>
            </w14:solidFill>
          </w14:textFill>
        </w:rPr>
        <w:t>推动中旅·阿那亚九龙湖等项目建设，发展桨板、滑雪板等体育消费新业态，开展沉浸式体验、服务机器人、智能导览等服务，打造大湾区北部文商旅消费新场景。</w:t>
      </w:r>
    </w:p>
    <w:p w14:paraId="49D9E06D">
      <w:pPr>
        <w:spacing w:line="360" w:lineRule="auto"/>
        <w:ind w:firstLine="643" w:firstLineChars="200"/>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40"/>
          <w14:textFill>
            <w14:solidFill>
              <w14:schemeClr w14:val="tx1"/>
            </w14:solidFill>
          </w14:textFill>
        </w:rPr>
        <w:t>推动数字城乡融合发展</w:t>
      </w:r>
      <w:r>
        <w:rPr>
          <w:rFonts w:hint="default" w:ascii="Times New Roman" w:hAnsi="Times New Roman" w:eastAsia="仿宋_GB2312" w:cs="Times New Roman"/>
          <w:color w:val="000000" w:themeColor="text1"/>
          <w:sz w:val="32"/>
          <w:szCs w:val="40"/>
          <w14:textFill>
            <w14:solidFill>
              <w14:schemeClr w14:val="tx1"/>
            </w14:solidFill>
          </w14:textFill>
        </w:rPr>
        <w:t>。</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强化数字赋能“百千万工程”</w:t>
      </w:r>
      <w:r>
        <w:rPr>
          <w:rFonts w:hint="default" w:ascii="Times New Roman" w:hAnsi="Times New Roman" w:eastAsia="仿宋_GB2312" w:cs="Times New Roman"/>
          <w:b w:val="0"/>
          <w:bCs w:val="0"/>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支撑信息综合平台建设，推进产业平台、绿美广东、基本公服、“四好农村路”等重点专项指标数据填报。</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依托无人机调度能力，构建省市区镇村五级低空感知体系，赋能基层治理。</w:t>
      </w:r>
      <w:r>
        <w:rPr>
          <w:rFonts w:hint="default" w:ascii="Times New Roman" w:hAnsi="Times New Roman" w:eastAsia="仿宋_GB2312" w:cs="Times New Roman"/>
          <w:b w:val="0"/>
          <w:bCs w:val="0"/>
          <w:snapToGrid w:val="0"/>
          <w:color w:val="000000" w:themeColor="text1"/>
          <w:kern w:val="0"/>
          <w:sz w:val="32"/>
          <w:szCs w:val="32"/>
          <w14:textFill>
            <w14:solidFill>
              <w14:schemeClr w14:val="tx1"/>
            </w14:solidFill>
          </w14:textFill>
        </w:rPr>
        <w:t>建设区数智乡村综合服务平台</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实现村务“一网通办”、产业“一屏统管”、服务“一端集成”。</w:t>
      </w:r>
      <w:r>
        <w:rPr>
          <w:rFonts w:hint="default" w:ascii="Times New Roman" w:hAnsi="Times New Roman" w:eastAsia="仿宋_GB2312" w:cs="Times New Roman"/>
          <w:b w:val="0"/>
          <w:bCs w:val="0"/>
          <w:snapToGrid w:val="0"/>
          <w:color w:val="000000" w:themeColor="text1"/>
          <w:kern w:val="0"/>
          <w:sz w:val="32"/>
          <w:szCs w:val="32"/>
          <w14:textFill>
            <w14:solidFill>
              <w14:schemeClr w14:val="tx1"/>
            </w14:solidFill>
          </w14:textFill>
        </w:rPr>
        <w:t>完善农村“三资”管理体系</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建立集体资产交易底价评估系统，构建资</w:t>
      </w:r>
      <w:r>
        <w:rPr>
          <w:rFonts w:hint="default" w:ascii="Times New Roman" w:hAnsi="Times New Roman" w:eastAsia="仿宋_GB2312" w:cs="Times New Roman"/>
          <w:b w:val="0"/>
          <w:bCs w:val="0"/>
          <w:snapToGrid w:val="0"/>
          <w:color w:val="000000" w:themeColor="text1"/>
          <w:kern w:val="0"/>
          <w:sz w:val="32"/>
          <w:szCs w:val="32"/>
          <w14:textFill>
            <w14:solidFill>
              <w14:schemeClr w14:val="tx1"/>
            </w14:solidFill>
          </w14:textFill>
        </w:rPr>
        <w:t>产信息“一张图”</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bookmarkEnd w:id="170"/>
    <w:bookmarkEnd w:id="171"/>
    <w:bookmarkEnd w:id="172"/>
    <w:bookmarkEnd w:id="173"/>
    <w:bookmarkEnd w:id="174"/>
    <w:bookmarkEnd w:id="175"/>
    <w:bookmarkEnd w:id="176"/>
    <w:bookmarkEnd w:id="177"/>
    <w:bookmarkEnd w:id="178"/>
    <w:p w14:paraId="2ED93502">
      <w:pPr>
        <w:spacing w:line="360" w:lineRule="auto"/>
        <w:ind w:firstLine="640" w:firstLineChars="200"/>
        <w:outlineLvl w:val="0"/>
        <w:rPr>
          <w:rFonts w:hint="default" w:ascii="Times New Roman" w:hAnsi="Times New Roman" w:eastAsia="黑体" w:cs="Times New Roman"/>
          <w:color w:val="000000" w:themeColor="text1"/>
          <w:sz w:val="32"/>
          <w:szCs w:val="32"/>
          <w:lang w:eastAsia="zh-CN"/>
          <w14:textFill>
            <w14:solidFill>
              <w14:schemeClr w14:val="tx1"/>
            </w14:solidFill>
          </w14:textFill>
        </w:rPr>
      </w:pPr>
      <w:bookmarkStart w:id="179" w:name="_Toc29818"/>
      <w:bookmarkStart w:id="180" w:name="_Toc2053"/>
      <w:bookmarkStart w:id="181" w:name="_Toc2661"/>
      <w:bookmarkStart w:id="182" w:name="_Toc10227"/>
      <w:bookmarkStart w:id="183" w:name="_Toc9960"/>
      <w:bookmarkStart w:id="184" w:name="_Toc12698"/>
      <w:bookmarkStart w:id="185" w:name="_Toc7473"/>
      <w:bookmarkStart w:id="186" w:name="_Toc24889"/>
      <w:bookmarkStart w:id="187" w:name="_Toc7394"/>
      <w:bookmarkStart w:id="188" w:name="_Toc6300"/>
      <w:bookmarkStart w:id="189" w:name="_Toc26686"/>
      <w:r>
        <w:rPr>
          <w:rFonts w:hint="default" w:ascii="Times New Roman" w:hAnsi="Times New Roman" w:eastAsia="黑体" w:cs="Times New Roman"/>
          <w:color w:val="000000" w:themeColor="text1"/>
          <w:sz w:val="32"/>
          <w:szCs w:val="32"/>
          <w:lang w:val="en-US" w:eastAsia="zh-CN"/>
          <w14:textFill>
            <w14:solidFill>
              <w14:schemeClr w14:val="tx1"/>
            </w14:solidFill>
          </w14:textFill>
        </w:rPr>
        <w:t>七</w:t>
      </w:r>
      <w:r>
        <w:rPr>
          <w:rFonts w:hint="default" w:ascii="Times New Roman" w:hAnsi="Times New Roman" w:eastAsia="黑体" w:cs="Times New Roman"/>
          <w:color w:val="000000" w:themeColor="text1"/>
          <w:sz w:val="32"/>
          <w:szCs w:val="32"/>
          <w14:textFill>
            <w14:solidFill>
              <w14:schemeClr w14:val="tx1"/>
            </w14:solidFill>
          </w14:textFill>
        </w:rPr>
        <w:t>、优化数字花都发展</w:t>
      </w:r>
      <w:bookmarkEnd w:id="179"/>
      <w:r>
        <w:rPr>
          <w:rFonts w:hint="default" w:ascii="Times New Roman" w:hAnsi="Times New Roman" w:eastAsia="黑体" w:cs="Times New Roman"/>
          <w:color w:val="000000" w:themeColor="text1"/>
          <w:sz w:val="32"/>
          <w:szCs w:val="32"/>
          <w14:textFill>
            <w14:solidFill>
              <w14:schemeClr w14:val="tx1"/>
            </w14:solidFill>
          </w14:textFill>
        </w:rPr>
        <w:t>生态</w:t>
      </w:r>
      <w:bookmarkEnd w:id="180"/>
      <w:bookmarkEnd w:id="181"/>
      <w:bookmarkEnd w:id="182"/>
      <w:bookmarkEnd w:id="183"/>
      <w:bookmarkEnd w:id="184"/>
      <w:bookmarkEnd w:id="185"/>
      <w:bookmarkEnd w:id="186"/>
      <w:bookmarkEnd w:id="187"/>
      <w:bookmarkEnd w:id="188"/>
      <w:bookmarkEnd w:id="189"/>
    </w:p>
    <w:p w14:paraId="1EC2036A">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90" w:name="_Toc21509"/>
      <w:bookmarkStart w:id="191" w:name="_Toc6695"/>
      <w:bookmarkStart w:id="192" w:name="_Toc26515"/>
      <w:bookmarkStart w:id="193" w:name="_Toc26838"/>
      <w:bookmarkStart w:id="194" w:name="_Toc18517"/>
      <w:r>
        <w:rPr>
          <w:rFonts w:hint="default" w:ascii="Times New Roman" w:hAnsi="Times New Roman" w:eastAsia="楷体" w:cs="Times New Roman"/>
          <w:color w:val="000000" w:themeColor="text1"/>
          <w:sz w:val="32"/>
          <w:szCs w:val="32"/>
          <w14:textFill>
            <w14:solidFill>
              <w14:schemeClr w14:val="tx1"/>
            </w14:solidFill>
          </w14:textFill>
        </w:rPr>
        <w:t>（一）优化产业发展营商环境</w:t>
      </w:r>
      <w:bookmarkEnd w:id="190"/>
      <w:bookmarkEnd w:id="191"/>
      <w:bookmarkEnd w:id="192"/>
    </w:p>
    <w:p w14:paraId="75BF3DA2">
      <w:pPr>
        <w:widowControl/>
        <w:spacing w:line="360" w:lineRule="auto"/>
        <w:ind w:firstLine="643" w:firstLineChars="200"/>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bCs/>
          <w:snapToGrid w:val="0"/>
          <w:color w:val="000000" w:themeColor="text1"/>
          <w:kern w:val="0"/>
          <w:sz w:val="32"/>
          <w:szCs w:val="32"/>
          <w14:textFill>
            <w14:solidFill>
              <w14:schemeClr w14:val="tx1"/>
            </w14:solidFill>
          </w14:textFill>
        </w:rPr>
        <w:t>打造一流营商环境。</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深化“放管服”改革，推动市场准入极简审批。落实各项减税降费政策，降低制度性交易成本，构建</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亲清统一的新型政商关系</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。优化产业版营商环境改革，面向不同行业、产业链、链主企业形成个性化营商环境</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推动法治与产业深度融合，加快建设高端化、专业化现代公共法律服务体系。</w:t>
      </w:r>
    </w:p>
    <w:p w14:paraId="45A5A00D">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95" w:name="_Toc19412"/>
      <w:bookmarkStart w:id="196" w:name="_Toc10683"/>
      <w:bookmarkStart w:id="197" w:name="_Toc16686"/>
      <w:r>
        <w:rPr>
          <w:rFonts w:hint="default" w:ascii="Times New Roman" w:hAnsi="Times New Roman" w:eastAsia="楷体" w:cs="Times New Roman"/>
          <w:color w:val="000000" w:themeColor="text1"/>
          <w:sz w:val="32"/>
          <w:szCs w:val="32"/>
          <w14:textFill>
            <w14:solidFill>
              <w14:schemeClr w14:val="tx1"/>
            </w14:solidFill>
          </w14:textFill>
        </w:rPr>
        <w:t>（二）培育协同开放创新生态</w:t>
      </w:r>
      <w:bookmarkEnd w:id="195"/>
      <w:bookmarkEnd w:id="196"/>
      <w:bookmarkEnd w:id="197"/>
    </w:p>
    <w:p w14:paraId="46B1CA26">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14:textFill>
            <w14:solidFill>
              <w14:schemeClr w14:val="tx1"/>
            </w14:solidFill>
          </w14:textFill>
        </w:rPr>
        <w:t>推进开源鸿蒙之城建设。</w:t>
      </w:r>
      <w:r>
        <w:rPr>
          <w:rFonts w:hint="default" w:ascii="Times New Roman" w:hAnsi="Times New Roman" w:eastAsia="仿宋_GB2312" w:cs="Times New Roman"/>
          <w:b w:val="0"/>
          <w:bCs w:val="0"/>
          <w:color w:val="000000" w:themeColor="text1"/>
          <w:sz w:val="32"/>
          <w:szCs w:val="40"/>
          <w14:textFill>
            <w14:solidFill>
              <w14:schemeClr w14:val="tx1"/>
            </w14:solidFill>
          </w14:textFill>
        </w:rPr>
        <w:t>向鸿蒙生态企业开放全区场景</w:t>
      </w:r>
      <w:r>
        <w:rPr>
          <w:rFonts w:hint="default" w:ascii="Times New Roman" w:hAnsi="Times New Roman" w:eastAsia="仿宋_GB2312" w:cs="Times New Roman"/>
          <w:color w:val="000000" w:themeColor="text1"/>
          <w:sz w:val="32"/>
          <w:szCs w:val="40"/>
          <w14:textFill>
            <w14:solidFill>
              <w14:schemeClr w14:val="tx1"/>
            </w14:solidFill>
          </w14:textFill>
        </w:rPr>
        <w:t>，提供试错机会、验证平台和孵化基地。鼓励龙头企业</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牵头</w:t>
      </w:r>
      <w:r>
        <w:rPr>
          <w:rFonts w:hint="default" w:ascii="Times New Roman" w:hAnsi="Times New Roman" w:eastAsia="仿宋_GB2312" w:cs="Times New Roman"/>
          <w:color w:val="000000" w:themeColor="text1"/>
          <w:sz w:val="32"/>
          <w:szCs w:val="40"/>
          <w14:textFill>
            <w14:solidFill>
              <w14:schemeClr w14:val="tx1"/>
            </w14:solidFill>
          </w14:textFill>
        </w:rPr>
        <w:t>组建联合创新</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体</w:t>
      </w:r>
      <w:r>
        <w:rPr>
          <w:rFonts w:hint="default" w:ascii="Times New Roman" w:hAnsi="Times New Roman" w:eastAsia="仿宋_GB2312" w:cs="Times New Roman"/>
          <w:color w:val="000000" w:themeColor="text1"/>
          <w:sz w:val="32"/>
          <w:szCs w:val="40"/>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推进</w:t>
      </w:r>
      <w:r>
        <w:rPr>
          <w:rFonts w:hint="default" w:ascii="Times New Roman" w:hAnsi="Times New Roman" w:eastAsia="仿宋_GB2312" w:cs="Times New Roman"/>
          <w:color w:val="000000" w:themeColor="text1"/>
          <w:sz w:val="32"/>
          <w:szCs w:val="40"/>
          <w14:textFill>
            <w14:solidFill>
              <w14:schemeClr w14:val="tx1"/>
            </w14:solidFill>
          </w14:textFill>
        </w:rPr>
        <w:t>开源鸿蒙技术突破与场景落地双向赋能</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加强</w:t>
      </w:r>
      <w:r>
        <w:rPr>
          <w:rFonts w:hint="default" w:ascii="Times New Roman" w:hAnsi="Times New Roman" w:eastAsia="仿宋_GB2312" w:cs="Times New Roman"/>
          <w:color w:val="000000" w:themeColor="text1"/>
          <w:sz w:val="32"/>
          <w:szCs w:val="40"/>
          <w14:textFill>
            <w14:solidFill>
              <w14:schemeClr w14:val="tx1"/>
            </w14:solidFill>
          </w14:textFill>
        </w:rPr>
        <w:t>开源鸿蒙系统在政务服务、城市治理、制造业、文旅等领域</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推广应用</w:t>
      </w:r>
      <w:r>
        <w:rPr>
          <w:rFonts w:hint="default" w:ascii="Times New Roman" w:hAnsi="Times New Roman" w:eastAsia="仿宋_GB2312" w:cs="Times New Roman"/>
          <w:color w:val="000000" w:themeColor="text1"/>
          <w:sz w:val="32"/>
          <w:szCs w:val="40"/>
          <w14:textFill>
            <w14:solidFill>
              <w14:schemeClr w14:val="tx1"/>
            </w14:solidFill>
          </w14:textFill>
        </w:rPr>
        <w:t>。</w:t>
      </w:r>
    </w:p>
    <w:p w14:paraId="480BE168">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14:textFill>
            <w14:solidFill>
              <w14:schemeClr w14:val="tx1"/>
            </w14:solidFill>
          </w14:textFill>
        </w:rPr>
        <w:t>深度</w:t>
      </w:r>
      <w:r>
        <w:rPr>
          <w:rFonts w:hint="default" w:ascii="Times New Roman" w:hAnsi="Times New Roman" w:eastAsia="仿宋_GB2312" w:cs="Times New Roman"/>
          <w:b/>
          <w:bCs/>
          <w:color w:val="000000" w:themeColor="text1"/>
          <w:sz w:val="32"/>
          <w:szCs w:val="32"/>
          <w14:textFill>
            <w14:solidFill>
              <w14:schemeClr w14:val="tx1"/>
            </w14:solidFill>
          </w14:textFill>
        </w:rPr>
        <w:t>融入区域创新网络。</w:t>
      </w:r>
      <w:r>
        <w:rPr>
          <w:rFonts w:hint="default" w:ascii="Times New Roman" w:hAnsi="Times New Roman" w:eastAsia="仿宋_GB2312" w:cs="Times New Roman"/>
          <w:color w:val="000000" w:themeColor="text1"/>
          <w:sz w:val="32"/>
          <w:szCs w:val="32"/>
          <w14:textFill>
            <w14:solidFill>
              <w14:schemeClr w14:val="tx1"/>
            </w14:solidFill>
          </w14:textFill>
        </w:rPr>
        <w:t>积极融入广深港澳科技创新走廊，加强与广州知识城、南沙科学城的战略联动与功能协同。深化与省科学院、中山大学等机构的合作，吸引科技服务机构集聚发展，构建全链条科技成果转化服务体系。</w:t>
      </w:r>
    </w:p>
    <w:p w14:paraId="27B4260B">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198" w:name="_Toc11000"/>
      <w:bookmarkStart w:id="199" w:name="_Toc17190"/>
      <w:bookmarkStart w:id="200" w:name="_Toc1785"/>
      <w:r>
        <w:rPr>
          <w:rFonts w:hint="default" w:ascii="Times New Roman" w:hAnsi="Times New Roman" w:eastAsia="楷体" w:cs="Times New Roman"/>
          <w:color w:val="000000" w:themeColor="text1"/>
          <w:sz w:val="32"/>
          <w:szCs w:val="32"/>
          <w14:textFill>
            <w14:solidFill>
              <w14:schemeClr w14:val="tx1"/>
            </w14:solidFill>
          </w14:textFill>
        </w:rPr>
        <w:t>（三）构建数字开放合作平台</w:t>
      </w:r>
      <w:bookmarkEnd w:id="198"/>
      <w:bookmarkEnd w:id="199"/>
      <w:bookmarkEnd w:id="200"/>
    </w:p>
    <w:p w14:paraId="69C7042D">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14:textFill>
            <w14:solidFill>
              <w14:schemeClr w14:val="tx1"/>
            </w14:solidFill>
          </w14:textFill>
        </w:rPr>
        <w:t>推进南方枢纽争创国家级开放平台。</w:t>
      </w:r>
      <w:r>
        <w:rPr>
          <w:rFonts w:hint="default" w:ascii="Times New Roman" w:hAnsi="Times New Roman" w:eastAsia="仿宋_GB2312" w:cs="Times New Roman"/>
          <w:color w:val="000000" w:themeColor="text1"/>
          <w:sz w:val="32"/>
          <w:szCs w:val="40"/>
          <w14:textFill>
            <w14:solidFill>
              <w14:schemeClr w14:val="tx1"/>
            </w14:solidFill>
          </w14:textFill>
        </w:rPr>
        <w:t>支持“南方枢纽”融入“黄金内湾”规划，争取纳入国家战略布局。依托空铁枢纽联运和客流优势，聚焦航空物流、跨境电商、保税维修、融资租赁等高附加值业态。</w:t>
      </w:r>
    </w:p>
    <w:p w14:paraId="3BA63514">
      <w:pPr>
        <w:spacing w:line="360" w:lineRule="auto"/>
        <w:ind w:firstLine="643" w:firstLineChars="200"/>
        <w:rPr>
          <w:rFonts w:hint="default" w:ascii="Times New Roman" w:hAnsi="Times New Roman" w:eastAsia="仿宋_GB2312" w:cs="Times New Roman"/>
          <w:color w:val="000000" w:themeColor="text1"/>
          <w:sz w:val="32"/>
          <w:szCs w:val="40"/>
          <w14:textFill>
            <w14:solidFill>
              <w14:schemeClr w14:val="tx1"/>
            </w14:solidFill>
          </w14:textFill>
        </w:rPr>
      </w:pPr>
      <w:r>
        <w:rPr>
          <w:rFonts w:hint="default" w:ascii="Times New Roman" w:hAnsi="Times New Roman" w:eastAsia="仿宋_GB2312" w:cs="Times New Roman"/>
          <w:b/>
          <w:bCs/>
          <w:color w:val="000000" w:themeColor="text1"/>
          <w:sz w:val="32"/>
          <w:szCs w:val="40"/>
          <w14:textFill>
            <w14:solidFill>
              <w14:schemeClr w14:val="tx1"/>
            </w14:solidFill>
          </w14:textFill>
        </w:rPr>
        <w:t>开展数据跨境试点。</w:t>
      </w:r>
      <w:r>
        <w:rPr>
          <w:rFonts w:hint="default" w:ascii="Times New Roman" w:hAnsi="Times New Roman" w:eastAsia="仿宋_GB2312" w:cs="Times New Roman"/>
          <w:color w:val="000000" w:themeColor="text1"/>
          <w:sz w:val="32"/>
          <w:szCs w:val="40"/>
          <w14:textFill>
            <w14:solidFill>
              <w14:schemeClr w14:val="tx1"/>
            </w14:solidFill>
          </w14:textFill>
        </w:rPr>
        <w:t>探索设立面向东盟及“一带一路”国家的跨境数据流动试点，在航空物流、跨境电商、先进制造等领域开展安全有序的数据跨境流通先行先试。争取设立临空型自贸试验区，探索在数据跨境、数字身份认证、电子单证互信等方面的数字制度创新</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积极对接RCEP等国际经贸规则。</w:t>
      </w:r>
    </w:p>
    <w:p w14:paraId="6002E47A">
      <w:pPr>
        <w:spacing w:line="360" w:lineRule="auto"/>
        <w:ind w:firstLine="643" w:firstLineChars="200"/>
        <w:rPr>
          <w:rFonts w:hint="default" w:ascii="Times New Roman" w:hAnsi="Times New Roman" w:cs="Times New Roman"/>
        </w:rPr>
      </w:pPr>
      <w:r>
        <w:rPr>
          <w:rFonts w:hint="default" w:ascii="Times New Roman" w:hAnsi="Times New Roman" w:eastAsia="仿宋_GB2312" w:cs="Times New Roman"/>
          <w:b/>
          <w:bCs/>
          <w:color w:val="000000" w:themeColor="text1"/>
          <w:sz w:val="32"/>
          <w:szCs w:val="40"/>
          <w14:textFill>
            <w14:solidFill>
              <w14:schemeClr w14:val="tx1"/>
            </w14:solidFill>
          </w14:textFill>
        </w:rPr>
        <w:t>深化湾区数字协同合作。</w:t>
      </w:r>
      <w:r>
        <w:rPr>
          <w:rFonts w:hint="default" w:ascii="Times New Roman" w:hAnsi="Times New Roman" w:eastAsia="仿宋_GB2312" w:cs="Times New Roman"/>
          <w:color w:val="000000" w:themeColor="text1"/>
          <w:sz w:val="32"/>
          <w:szCs w:val="40"/>
          <w14:textFill>
            <w14:solidFill>
              <w14:schemeClr w14:val="tx1"/>
            </w14:solidFill>
          </w14:textFill>
        </w:rPr>
        <w:t>以广清一体化等区域合作为抓手，拓展政务服务“跨城通办”的广度与深度，深化电子证照互认、数据共享等机制。探索推广“反向飞地”模式，支持清远等地在花都设立数字协同创新中心</w:t>
      </w:r>
      <w:r>
        <w:rPr>
          <w:rFonts w:hint="default" w:ascii="Times New Roman" w:hAnsi="Times New Roman" w:eastAsia="仿宋_GB2312" w:cs="Times New Roman"/>
          <w:color w:val="000000" w:themeColor="text1"/>
          <w:sz w:val="32"/>
          <w:szCs w:val="40"/>
          <w:lang w:eastAsia="zh-CN"/>
          <w14:textFill>
            <w14:solidFill>
              <w14:schemeClr w14:val="tx1"/>
            </w14:solidFill>
          </w14:textFill>
        </w:rPr>
        <w:t>。</w:t>
      </w:r>
      <w:r>
        <w:rPr>
          <w:rFonts w:hint="default" w:ascii="Times New Roman" w:hAnsi="Times New Roman" w:eastAsia="仿宋_GB2312" w:cs="Times New Roman"/>
          <w:color w:val="000000" w:themeColor="text1"/>
          <w:sz w:val="32"/>
          <w:szCs w:val="40"/>
          <w14:textFill>
            <w14:solidFill>
              <w14:schemeClr w14:val="tx1"/>
            </w14:solidFill>
          </w14:textFill>
        </w:rPr>
        <w:t>深化与广州中心城区、南沙自贸区、佛山制造业腹地的数字联动，推动算力资源统筹调度、行业大模型联合开发、数据产品跨域流通。</w:t>
      </w:r>
    </w:p>
    <w:bookmarkEnd w:id="193"/>
    <w:bookmarkEnd w:id="194"/>
    <w:p w14:paraId="1E67A938">
      <w:pPr>
        <w:spacing w:line="360" w:lineRule="auto"/>
        <w:ind w:firstLine="640" w:firstLineChars="200"/>
        <w:outlineLvl w:val="0"/>
        <w:rPr>
          <w:rFonts w:hint="default" w:ascii="Times New Roman" w:hAnsi="Times New Roman" w:eastAsia="黑体" w:cs="Times New Roman"/>
          <w:color w:val="000000" w:themeColor="text1"/>
          <w:sz w:val="32"/>
          <w:szCs w:val="32"/>
          <w:lang w:eastAsia="zh-CN"/>
          <w14:textFill>
            <w14:solidFill>
              <w14:schemeClr w14:val="tx1"/>
            </w14:solidFill>
          </w14:textFill>
        </w:rPr>
      </w:pPr>
      <w:bookmarkStart w:id="201" w:name="_Toc24576"/>
      <w:bookmarkStart w:id="202" w:name="_Toc23222"/>
      <w:bookmarkStart w:id="203" w:name="_Toc2196"/>
      <w:bookmarkStart w:id="204" w:name="_Toc23604"/>
      <w:bookmarkStart w:id="205" w:name="_Toc13068"/>
      <w:bookmarkStart w:id="206" w:name="_Toc31532"/>
      <w:bookmarkStart w:id="207" w:name="_Toc21580"/>
      <w:bookmarkStart w:id="208" w:name="_Toc26428"/>
      <w:bookmarkStart w:id="209" w:name="_Toc12258"/>
      <w:bookmarkStart w:id="210" w:name="_Toc15848"/>
      <w:bookmarkStart w:id="211" w:name="_Toc9677"/>
      <w:r>
        <w:rPr>
          <w:rFonts w:hint="default" w:ascii="Times New Roman" w:hAnsi="Times New Roman" w:eastAsia="黑体" w:cs="Times New Roman"/>
          <w:color w:val="000000" w:themeColor="text1"/>
          <w:sz w:val="32"/>
          <w:szCs w:val="32"/>
          <w:lang w:val="en-US" w:eastAsia="zh-CN"/>
          <w14:textFill>
            <w14:solidFill>
              <w14:schemeClr w14:val="tx1"/>
            </w14:solidFill>
          </w14:textFill>
        </w:rPr>
        <w:t>八</w:t>
      </w:r>
      <w:r>
        <w:rPr>
          <w:rFonts w:hint="default" w:ascii="Times New Roman" w:hAnsi="Times New Roman" w:eastAsia="黑体" w:cs="Times New Roman"/>
          <w:color w:val="000000" w:themeColor="text1"/>
          <w:sz w:val="32"/>
          <w:szCs w:val="32"/>
          <w14:textFill>
            <w14:solidFill>
              <w14:schemeClr w14:val="tx1"/>
            </w14:solidFill>
          </w14:textFill>
        </w:rPr>
        <w:t>、保障措施</w:t>
      </w:r>
      <w:bookmarkEnd w:id="201"/>
      <w:bookmarkEnd w:id="202"/>
      <w:bookmarkEnd w:id="203"/>
      <w:bookmarkEnd w:id="204"/>
      <w:bookmarkEnd w:id="205"/>
      <w:bookmarkEnd w:id="206"/>
      <w:bookmarkEnd w:id="207"/>
      <w:bookmarkEnd w:id="208"/>
      <w:bookmarkEnd w:id="209"/>
      <w:bookmarkEnd w:id="210"/>
      <w:bookmarkEnd w:id="211"/>
    </w:p>
    <w:p w14:paraId="018FEF3A">
      <w:pPr>
        <w:numPr>
          <w:ilvl w:val="0"/>
          <w:numId w:val="3"/>
        </w:num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212" w:name="_Toc1229"/>
      <w:bookmarkStart w:id="213" w:name="_Toc3230"/>
      <w:bookmarkStart w:id="214" w:name="_Toc5500"/>
      <w:bookmarkStart w:id="215" w:name="_Toc14783"/>
      <w:bookmarkStart w:id="216" w:name="_Toc23864"/>
      <w:bookmarkStart w:id="217" w:name="_Toc11814"/>
      <w:bookmarkStart w:id="218" w:name="_Toc22639"/>
      <w:bookmarkStart w:id="219" w:name="_Toc32326"/>
      <w:bookmarkStart w:id="220" w:name="_Toc21028"/>
      <w:bookmarkStart w:id="221" w:name="_Toc11698"/>
      <w:bookmarkStart w:id="222" w:name="_Toc18891"/>
      <w:r>
        <w:rPr>
          <w:rFonts w:hint="default" w:ascii="Times New Roman" w:hAnsi="Times New Roman" w:eastAsia="楷体" w:cs="Times New Roman"/>
          <w:color w:val="000000" w:themeColor="text1"/>
          <w:sz w:val="32"/>
          <w:szCs w:val="32"/>
          <w14:textFill>
            <w14:solidFill>
              <w14:schemeClr w14:val="tx1"/>
            </w14:solidFill>
          </w14:textFill>
        </w:rPr>
        <w:t>强化组织保障</w:t>
      </w:r>
      <w:bookmarkEnd w:id="212"/>
      <w:bookmarkEnd w:id="213"/>
    </w:p>
    <w:p w14:paraId="0A9DBF5D">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设立由区委、区政府主要领导牵头的数字花都建设协调机制，明确各单位在规划实施中的职责分工。动态监测规划实施进展，确保各项工作按时保质推进。加强与广州国际航空枢纽、中新广州知识城、南沙自贸区等重大平台的政策与项目对接。</w:t>
      </w:r>
    </w:p>
    <w:p w14:paraId="0589B88D">
      <w:pPr>
        <w:numPr>
          <w:ilvl w:val="0"/>
          <w:numId w:val="3"/>
        </w:num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223" w:name="_Toc21630"/>
      <w:bookmarkStart w:id="224" w:name="_Toc32390"/>
      <w:r>
        <w:rPr>
          <w:rFonts w:hint="default" w:ascii="Times New Roman" w:hAnsi="Times New Roman" w:eastAsia="楷体" w:cs="Times New Roman"/>
          <w:color w:val="000000" w:themeColor="text1"/>
          <w:sz w:val="32"/>
          <w:szCs w:val="32"/>
          <w14:textFill>
            <w14:solidFill>
              <w14:schemeClr w14:val="tx1"/>
            </w14:solidFill>
          </w14:textFill>
        </w:rPr>
        <w:t>加大政策支持</w:t>
      </w:r>
      <w:bookmarkEnd w:id="223"/>
      <w:bookmarkEnd w:id="224"/>
    </w:p>
    <w:p w14:paraId="555D0CFB">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构建与数字花都建设相适配的政策体系。用足用好“具身智能机器人十条”“低空经济若干措施”等专项政策。推动重大平台、重点项目纳入国家、省、市重点规划与专项计划，推荐符合条件的企业申报省、市级补贴政策。</w:t>
      </w:r>
    </w:p>
    <w:p w14:paraId="0006A64C">
      <w:pPr>
        <w:numPr>
          <w:ilvl w:val="0"/>
          <w:numId w:val="3"/>
        </w:num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225" w:name="_Toc2657"/>
      <w:bookmarkStart w:id="226" w:name="_Toc30027"/>
      <w:r>
        <w:rPr>
          <w:rFonts w:hint="default" w:ascii="Times New Roman" w:hAnsi="Times New Roman" w:eastAsia="楷体" w:cs="Times New Roman"/>
          <w:color w:val="000000" w:themeColor="text1"/>
          <w:sz w:val="32"/>
          <w:szCs w:val="32"/>
          <w14:textFill>
            <w14:solidFill>
              <w14:schemeClr w14:val="tx1"/>
            </w14:solidFill>
          </w14:textFill>
        </w:rPr>
        <w:t>加强资金保障</w:t>
      </w:r>
      <w:bookmarkEnd w:id="225"/>
      <w:bookmarkEnd w:id="226"/>
    </w:p>
    <w:p w14:paraId="5FE4AC77">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积极争取中央预算内投资、专项债、超长期特别国债等各类资金支持。统筹区内各级各类财政专项资金，重点保障技术研发、重点产业和重大项目所需。引导社会资本以多种形式参与数字花都建设，加大对原创性、引领性数智领域投资力度。</w:t>
      </w:r>
    </w:p>
    <w:p w14:paraId="3D5E9D4B">
      <w:p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227" w:name="_Toc28461"/>
      <w:bookmarkStart w:id="228" w:name="_Toc2249"/>
      <w:r>
        <w:rPr>
          <w:rFonts w:hint="default" w:ascii="Times New Roman" w:hAnsi="Times New Roman" w:eastAsia="楷体" w:cs="Times New Roman"/>
          <w:color w:val="000000" w:themeColor="text1"/>
          <w:sz w:val="32"/>
          <w:szCs w:val="32"/>
          <w14:textFill>
            <w14:solidFill>
              <w14:schemeClr w14:val="tx1"/>
            </w14:solidFill>
          </w14:textFill>
        </w:rPr>
        <w:t>（四）加强人才保障</w:t>
      </w:r>
      <w:bookmarkEnd w:id="227"/>
      <w:bookmarkEnd w:id="228"/>
    </w:p>
    <w:p w14:paraId="63C5B5F4">
      <w:pPr>
        <w:spacing w:line="360" w:lineRule="auto"/>
        <w:ind w:firstLine="640" w:firstLineChars="200"/>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实施“智汇花都聚才行动”，落实“百万英才汇南粤”行动计划，推动人才引进与项目落地协同联动。鼓励高校与龙头企业共建数字技能实训基地和现代产业学院，开展“订单式”人才培养，共建产学研合作基地。组织领导干部和企业高管开展数字素养提升、AI业务培训及技能竞赛。</w:t>
      </w:r>
    </w:p>
    <w:p w14:paraId="1A60D8E8">
      <w:pPr>
        <w:numPr>
          <w:ilvl w:val="255"/>
          <w:numId w:val="0"/>
        </w:numPr>
        <w:spacing w:line="360" w:lineRule="auto"/>
        <w:ind w:firstLine="640" w:firstLineChars="200"/>
        <w:outlineLvl w:val="1"/>
        <w:rPr>
          <w:rFonts w:hint="default" w:ascii="Times New Roman" w:hAnsi="Times New Roman" w:eastAsia="楷体" w:cs="Times New Roman"/>
          <w:color w:val="000000" w:themeColor="text1"/>
          <w:sz w:val="32"/>
          <w:szCs w:val="32"/>
          <w14:textFill>
            <w14:solidFill>
              <w14:schemeClr w14:val="tx1"/>
            </w14:solidFill>
          </w14:textFill>
        </w:rPr>
      </w:pPr>
      <w:bookmarkStart w:id="229" w:name="_Toc3853"/>
      <w:bookmarkStart w:id="230" w:name="_Toc3424"/>
      <w:r>
        <w:rPr>
          <w:rFonts w:hint="default" w:ascii="Times New Roman" w:hAnsi="Times New Roman" w:eastAsia="楷体" w:cs="Times New Roman"/>
          <w:color w:val="000000" w:themeColor="text1"/>
          <w:sz w:val="32"/>
          <w:szCs w:val="32"/>
          <w14:textFill>
            <w14:solidFill>
              <w14:schemeClr w14:val="tx1"/>
            </w14:solidFill>
          </w14:textFill>
        </w:rPr>
        <w:t>（五）加大宣传推广</w:t>
      </w:r>
      <w:bookmarkEnd w:id="229"/>
      <w:bookmarkEnd w:id="230"/>
    </w:p>
    <w:p w14:paraId="0D4B1FCC">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推进品牌建设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积极承办具有影响力的高端论坛、行业会议和竞赛活动。推进“揭榜挂帅”机制，发布需求清单，加强供需对接交流合作。依托“花都发布”“今日花都”等官方平台，定期发布数字花都建设进展、典型案例和惠民成果。</w:t>
      </w:r>
    </w:p>
    <w:p w14:paraId="649BDCA0">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658D68E5">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0B756E3">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737CF265">
      <w:pPr>
        <w:spacing w:line="360" w:lineRule="auto"/>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bookmarkEnd w:id="214"/>
    <w:bookmarkEnd w:id="215"/>
    <w:bookmarkEnd w:id="216"/>
    <w:bookmarkEnd w:id="217"/>
    <w:bookmarkEnd w:id="218"/>
    <w:bookmarkEnd w:id="219"/>
    <w:bookmarkEnd w:id="220"/>
    <w:bookmarkEnd w:id="221"/>
    <w:bookmarkEnd w:id="222"/>
    <w:p w14:paraId="0D4E789A">
      <w:pPr>
        <w:spacing w:line="20" w:lineRule="exact"/>
        <w:rPr>
          <w:rFonts w:hint="default" w:ascii="Times New Roman" w:hAnsi="Times New Roman" w:eastAsia="仿宋_GB2312" w:cs="Times New Roman"/>
          <w:color w:val="000000" w:themeColor="text1"/>
          <w:sz w:val="32"/>
          <w:szCs w:val="32"/>
          <w14:textFill>
            <w14:solidFill>
              <w14:schemeClr w14:val="tx1"/>
            </w14:solidFill>
          </w14:textFill>
        </w:rPr>
      </w:pP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9E3721-1C4A-4F47-B175-90F4F4A995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247D080-2055-444B-9D4A-5E0CA1F00374}"/>
  </w:font>
  <w:font w:name="方正楷体_GBK">
    <w:panose1 w:val="02000000000000000000"/>
    <w:charset w:val="86"/>
    <w:family w:val="auto"/>
    <w:pitch w:val="default"/>
    <w:sig w:usb0="800002BF" w:usb1="38CF7CFA" w:usb2="00000016" w:usb3="00000000" w:csb0="00040000" w:csb1="00000000"/>
  </w:font>
  <w:font w:name="方正楷体_GB2312">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43FB6E95-EF22-49DE-90C3-B41B855A4355}"/>
  </w:font>
  <w:font w:name="方正小标宋简体">
    <w:panose1 w:val="02000000000000000000"/>
    <w:charset w:val="86"/>
    <w:family w:val="auto"/>
    <w:pitch w:val="default"/>
    <w:sig w:usb0="00000001" w:usb1="080E0000" w:usb2="00000000" w:usb3="00000000" w:csb0="00040000" w:csb1="00000000"/>
    <w:embedRegular r:id="rId4" w:fontKey="{136E9D3D-E084-48D5-989F-831410F51A4E}"/>
  </w:font>
  <w:font w:name="楷体">
    <w:panose1 w:val="02010609060101010101"/>
    <w:charset w:val="86"/>
    <w:family w:val="modern"/>
    <w:pitch w:val="default"/>
    <w:sig w:usb0="800002BF" w:usb1="38CF7CFA" w:usb2="00000016" w:usb3="00000000" w:csb0="00040001" w:csb1="00000000"/>
    <w:embedRegular r:id="rId5" w:fontKey="{4D73C260-0FD6-4C63-8338-879D8C96042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E999C">
    <w:pPr>
      <w:pStyle w:val="8"/>
      <w:jc w:val="center"/>
    </w:pPr>
  </w:p>
  <w:p w14:paraId="7237B35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BAAFE">
    <w:pPr>
      <w:pStyle w:val="8"/>
      <w:jc w:val="center"/>
    </w:pPr>
  </w:p>
  <w:p w14:paraId="004B94AA">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BA0DF">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6567"/>
                          </w:sdtPr>
                          <w:sdtContent>
                            <w:p w14:paraId="0DD1CA94">
                              <w:pPr>
                                <w:pStyle w:val="8"/>
                                <w:jc w:val="center"/>
                              </w:pPr>
                              <w:r>
                                <w:fldChar w:fldCharType="begin"/>
                              </w:r>
                              <w:r>
                                <w:instrText xml:space="preserve">PAGE   \* MERGEFORMAT</w:instrText>
                              </w:r>
                              <w:r>
                                <w:fldChar w:fldCharType="separate"/>
                              </w:r>
                              <w:r>
                                <w:rPr>
                                  <w:lang w:val="zh-CN"/>
                                </w:rPr>
                                <w:t>2</w:t>
                              </w:r>
                              <w:r>
                                <w:fldChar w:fldCharType="end"/>
                              </w:r>
                            </w:p>
                          </w:sdtContent>
                        </w:sdt>
                        <w:p w14:paraId="44553C5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147456567"/>
                    </w:sdtPr>
                    <w:sdtContent>
                      <w:p w14:paraId="0DD1CA94">
                        <w:pPr>
                          <w:pStyle w:val="8"/>
                          <w:jc w:val="center"/>
                        </w:pPr>
                        <w:r>
                          <w:fldChar w:fldCharType="begin"/>
                        </w:r>
                        <w:r>
                          <w:instrText xml:space="preserve">PAGE   \* MERGEFORMAT</w:instrText>
                        </w:r>
                        <w:r>
                          <w:fldChar w:fldCharType="separate"/>
                        </w:r>
                        <w:r>
                          <w:rPr>
                            <w:lang w:val="zh-CN"/>
                          </w:rPr>
                          <w:t>2</w:t>
                        </w:r>
                        <w:r>
                          <w:fldChar w:fldCharType="end"/>
                        </w:r>
                      </w:p>
                    </w:sdtContent>
                  </w:sdt>
                  <w:p w14:paraId="44553C59"/>
                </w:txbxContent>
              </v:textbox>
            </v:shape>
          </w:pict>
        </mc:Fallback>
      </mc:AlternateContent>
    </w:r>
  </w:p>
  <w:p w14:paraId="25B73F17">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980585"/>
      <w:docPartObj>
        <w:docPartGallery w:val="autotext"/>
      </w:docPartObj>
    </w:sdtPr>
    <w:sdtContent>
      <w:p w14:paraId="508A666C">
        <w:pPr>
          <w:pStyle w:val="8"/>
          <w:jc w:val="center"/>
        </w:pPr>
        <w:r>
          <w:fldChar w:fldCharType="begin"/>
        </w:r>
        <w:r>
          <w:instrText xml:space="preserve">PAGE   \* MERGEFORMAT</w:instrText>
        </w:r>
        <w:r>
          <w:fldChar w:fldCharType="separate"/>
        </w:r>
        <w:r>
          <w:rPr>
            <w:lang w:val="zh-CN"/>
          </w:rPr>
          <w:t>2</w:t>
        </w:r>
        <w:r>
          <w:fldChar w:fldCharType="end"/>
        </w:r>
      </w:p>
    </w:sdtContent>
  </w:sdt>
  <w:p w14:paraId="32FC9DAB">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4A843"/>
    <w:multiLevelType w:val="singleLevel"/>
    <w:tmpl w:val="0E54A843"/>
    <w:lvl w:ilvl="0" w:tentative="0">
      <w:start w:val="3"/>
      <w:numFmt w:val="decimal"/>
      <w:lvlText w:val="%1."/>
      <w:lvlJc w:val="left"/>
      <w:pPr>
        <w:tabs>
          <w:tab w:val="left" w:pos="312"/>
        </w:tabs>
      </w:pPr>
      <w:rPr>
        <w:rFonts w:hint="default" w:ascii="Times New Roman" w:hAnsi="Times New Roman" w:cs="Times New Roman"/>
      </w:rPr>
    </w:lvl>
  </w:abstractNum>
  <w:abstractNum w:abstractNumId="1">
    <w:nsid w:val="2DBB240C"/>
    <w:multiLevelType w:val="singleLevel"/>
    <w:tmpl w:val="2DBB240C"/>
    <w:lvl w:ilvl="0" w:tentative="0">
      <w:start w:val="1"/>
      <w:numFmt w:val="chineseCounting"/>
      <w:suff w:val="nothing"/>
      <w:lvlText w:val="（%1）"/>
      <w:lvlJc w:val="left"/>
      <w:rPr>
        <w:rFonts w:hint="eastAsia"/>
      </w:rPr>
    </w:lvl>
  </w:abstractNum>
  <w:abstractNum w:abstractNumId="2">
    <w:nsid w:val="79A79108"/>
    <w:multiLevelType w:val="singleLevel"/>
    <w:tmpl w:val="79A79108"/>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TrueTypeFonts/>
  <w:saveSubsetFonts/>
  <w:bordersDoNotSurroundHeader w:val="0"/>
  <w:bordersDoNotSurroundFooter w:val="0"/>
  <w:revisionView w:markup="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39E0"/>
    <w:rsid w:val="000D6BB9"/>
    <w:rsid w:val="000F6896"/>
    <w:rsid w:val="001414DE"/>
    <w:rsid w:val="00172A27"/>
    <w:rsid w:val="002160CE"/>
    <w:rsid w:val="00251CC4"/>
    <w:rsid w:val="00261C56"/>
    <w:rsid w:val="002B156E"/>
    <w:rsid w:val="002F0D48"/>
    <w:rsid w:val="00362368"/>
    <w:rsid w:val="003A005C"/>
    <w:rsid w:val="00416DC9"/>
    <w:rsid w:val="004E5A65"/>
    <w:rsid w:val="005324D0"/>
    <w:rsid w:val="005425B5"/>
    <w:rsid w:val="00561ECB"/>
    <w:rsid w:val="005D3D6E"/>
    <w:rsid w:val="006408FA"/>
    <w:rsid w:val="00642180"/>
    <w:rsid w:val="00651678"/>
    <w:rsid w:val="006C268C"/>
    <w:rsid w:val="006E0E03"/>
    <w:rsid w:val="006E5A9D"/>
    <w:rsid w:val="006F5273"/>
    <w:rsid w:val="007078E4"/>
    <w:rsid w:val="007301E8"/>
    <w:rsid w:val="00744029"/>
    <w:rsid w:val="00757BF1"/>
    <w:rsid w:val="0076735D"/>
    <w:rsid w:val="0077760E"/>
    <w:rsid w:val="00781DB2"/>
    <w:rsid w:val="00793D6A"/>
    <w:rsid w:val="007E3A5B"/>
    <w:rsid w:val="007F249E"/>
    <w:rsid w:val="0082135D"/>
    <w:rsid w:val="00847453"/>
    <w:rsid w:val="00885CA9"/>
    <w:rsid w:val="008F5486"/>
    <w:rsid w:val="008F7DBE"/>
    <w:rsid w:val="00936B7F"/>
    <w:rsid w:val="009D771B"/>
    <w:rsid w:val="00A548DB"/>
    <w:rsid w:val="00AB0EE2"/>
    <w:rsid w:val="00C06290"/>
    <w:rsid w:val="00C45DAE"/>
    <w:rsid w:val="00D143D1"/>
    <w:rsid w:val="00D16A2F"/>
    <w:rsid w:val="00D20B4D"/>
    <w:rsid w:val="00D5082C"/>
    <w:rsid w:val="00DA4CBB"/>
    <w:rsid w:val="00DB2FBE"/>
    <w:rsid w:val="00E726BF"/>
    <w:rsid w:val="00EA588C"/>
    <w:rsid w:val="00EF108F"/>
    <w:rsid w:val="00F26F41"/>
    <w:rsid w:val="00F95829"/>
    <w:rsid w:val="00FA1FE5"/>
    <w:rsid w:val="00FB72EC"/>
    <w:rsid w:val="013F2B84"/>
    <w:rsid w:val="014B4730"/>
    <w:rsid w:val="01DA1E97"/>
    <w:rsid w:val="02125874"/>
    <w:rsid w:val="022F642E"/>
    <w:rsid w:val="024A4418"/>
    <w:rsid w:val="03167BBA"/>
    <w:rsid w:val="0328322B"/>
    <w:rsid w:val="034414D9"/>
    <w:rsid w:val="03512E01"/>
    <w:rsid w:val="03575F0B"/>
    <w:rsid w:val="036A05D8"/>
    <w:rsid w:val="039D0857"/>
    <w:rsid w:val="03B96EA9"/>
    <w:rsid w:val="03C40CDC"/>
    <w:rsid w:val="03EE3926"/>
    <w:rsid w:val="040D2AF9"/>
    <w:rsid w:val="041A27E7"/>
    <w:rsid w:val="041A5C49"/>
    <w:rsid w:val="04300A06"/>
    <w:rsid w:val="04367AF8"/>
    <w:rsid w:val="04492F15"/>
    <w:rsid w:val="052D480C"/>
    <w:rsid w:val="05A91BD8"/>
    <w:rsid w:val="05A92CC5"/>
    <w:rsid w:val="05AD1295"/>
    <w:rsid w:val="05B07B1B"/>
    <w:rsid w:val="05DE0DAD"/>
    <w:rsid w:val="05E82A63"/>
    <w:rsid w:val="06051C30"/>
    <w:rsid w:val="06796A2D"/>
    <w:rsid w:val="0680104B"/>
    <w:rsid w:val="06892815"/>
    <w:rsid w:val="07301270"/>
    <w:rsid w:val="079A19A1"/>
    <w:rsid w:val="07A50D69"/>
    <w:rsid w:val="07BA06BE"/>
    <w:rsid w:val="07BA7D28"/>
    <w:rsid w:val="07F774BF"/>
    <w:rsid w:val="086C7FD4"/>
    <w:rsid w:val="088F5575"/>
    <w:rsid w:val="08B50434"/>
    <w:rsid w:val="08B5322E"/>
    <w:rsid w:val="08C6368D"/>
    <w:rsid w:val="08E34314"/>
    <w:rsid w:val="08E51104"/>
    <w:rsid w:val="08EC7A5C"/>
    <w:rsid w:val="08F733D2"/>
    <w:rsid w:val="097E7F9F"/>
    <w:rsid w:val="097F12A3"/>
    <w:rsid w:val="09BD067A"/>
    <w:rsid w:val="09E50802"/>
    <w:rsid w:val="09ED18D7"/>
    <w:rsid w:val="09F16955"/>
    <w:rsid w:val="0A2707B8"/>
    <w:rsid w:val="0A3B2AAF"/>
    <w:rsid w:val="0A6749FB"/>
    <w:rsid w:val="0ABE4B2C"/>
    <w:rsid w:val="0ACF1ECA"/>
    <w:rsid w:val="0AF7560D"/>
    <w:rsid w:val="0B285DDC"/>
    <w:rsid w:val="0B613E23"/>
    <w:rsid w:val="0B730C9B"/>
    <w:rsid w:val="0B881103"/>
    <w:rsid w:val="0BF05825"/>
    <w:rsid w:val="0C154D0A"/>
    <w:rsid w:val="0C3963AB"/>
    <w:rsid w:val="0D1F478B"/>
    <w:rsid w:val="0D523763"/>
    <w:rsid w:val="0D79660F"/>
    <w:rsid w:val="0D891D01"/>
    <w:rsid w:val="0DA06B69"/>
    <w:rsid w:val="0DAE601A"/>
    <w:rsid w:val="0DEF69F4"/>
    <w:rsid w:val="0E2F02D2"/>
    <w:rsid w:val="0EAD58D5"/>
    <w:rsid w:val="0EC82CD3"/>
    <w:rsid w:val="0EE5237F"/>
    <w:rsid w:val="0F39444D"/>
    <w:rsid w:val="0F4B28A2"/>
    <w:rsid w:val="0F671838"/>
    <w:rsid w:val="0F8B118C"/>
    <w:rsid w:val="0FBA381F"/>
    <w:rsid w:val="0FE04AF8"/>
    <w:rsid w:val="0FF66BCF"/>
    <w:rsid w:val="10144900"/>
    <w:rsid w:val="102403CB"/>
    <w:rsid w:val="103467DE"/>
    <w:rsid w:val="104065DD"/>
    <w:rsid w:val="10504261"/>
    <w:rsid w:val="10522556"/>
    <w:rsid w:val="109F52FC"/>
    <w:rsid w:val="11142614"/>
    <w:rsid w:val="11531CE4"/>
    <w:rsid w:val="11652E92"/>
    <w:rsid w:val="118306C9"/>
    <w:rsid w:val="11AE54EC"/>
    <w:rsid w:val="11CA6497"/>
    <w:rsid w:val="11D56E4F"/>
    <w:rsid w:val="11E54EEB"/>
    <w:rsid w:val="11EE3B9F"/>
    <w:rsid w:val="11FC7CF7"/>
    <w:rsid w:val="121E634A"/>
    <w:rsid w:val="128C697D"/>
    <w:rsid w:val="12AA1F14"/>
    <w:rsid w:val="12C329EB"/>
    <w:rsid w:val="12CD7625"/>
    <w:rsid w:val="131C06DA"/>
    <w:rsid w:val="13270D7A"/>
    <w:rsid w:val="136817E4"/>
    <w:rsid w:val="13725976"/>
    <w:rsid w:val="138B2770"/>
    <w:rsid w:val="13995836"/>
    <w:rsid w:val="139D1676"/>
    <w:rsid w:val="13C30EC6"/>
    <w:rsid w:val="13CC1F77"/>
    <w:rsid w:val="13E4356E"/>
    <w:rsid w:val="140A6DEE"/>
    <w:rsid w:val="14265083"/>
    <w:rsid w:val="14300006"/>
    <w:rsid w:val="143D5DAB"/>
    <w:rsid w:val="14432D3F"/>
    <w:rsid w:val="14436C95"/>
    <w:rsid w:val="146E67BC"/>
    <w:rsid w:val="14726477"/>
    <w:rsid w:val="147B7924"/>
    <w:rsid w:val="148820AF"/>
    <w:rsid w:val="14885CBC"/>
    <w:rsid w:val="14D25A10"/>
    <w:rsid w:val="14EF1808"/>
    <w:rsid w:val="1510175B"/>
    <w:rsid w:val="15174967"/>
    <w:rsid w:val="1555358D"/>
    <w:rsid w:val="15C709DB"/>
    <w:rsid w:val="15E433ED"/>
    <w:rsid w:val="15EC1502"/>
    <w:rsid w:val="161B1156"/>
    <w:rsid w:val="163739CA"/>
    <w:rsid w:val="16521E26"/>
    <w:rsid w:val="1664374B"/>
    <w:rsid w:val="1677567A"/>
    <w:rsid w:val="16B212CB"/>
    <w:rsid w:val="16DB5142"/>
    <w:rsid w:val="16EC0C31"/>
    <w:rsid w:val="16F5303A"/>
    <w:rsid w:val="1738769B"/>
    <w:rsid w:val="17685D29"/>
    <w:rsid w:val="17850E71"/>
    <w:rsid w:val="17A24BE8"/>
    <w:rsid w:val="17A708DF"/>
    <w:rsid w:val="17C74D2B"/>
    <w:rsid w:val="17EB6EA6"/>
    <w:rsid w:val="17F21CA2"/>
    <w:rsid w:val="181E3C5B"/>
    <w:rsid w:val="18216F24"/>
    <w:rsid w:val="183E0A52"/>
    <w:rsid w:val="184D3997"/>
    <w:rsid w:val="189C0A08"/>
    <w:rsid w:val="18EA2D72"/>
    <w:rsid w:val="192667D1"/>
    <w:rsid w:val="192E7819"/>
    <w:rsid w:val="19476D06"/>
    <w:rsid w:val="1968518A"/>
    <w:rsid w:val="1990114D"/>
    <w:rsid w:val="19AA6272"/>
    <w:rsid w:val="19F9287A"/>
    <w:rsid w:val="1A275FE8"/>
    <w:rsid w:val="1A67338E"/>
    <w:rsid w:val="1A693E78"/>
    <w:rsid w:val="1A7B1124"/>
    <w:rsid w:val="1A7D73CD"/>
    <w:rsid w:val="1A7F369B"/>
    <w:rsid w:val="1A9B1060"/>
    <w:rsid w:val="1AAE5354"/>
    <w:rsid w:val="1AF46BA2"/>
    <w:rsid w:val="1AFC1B22"/>
    <w:rsid w:val="1AFF27DA"/>
    <w:rsid w:val="1B3E13BF"/>
    <w:rsid w:val="1B926393"/>
    <w:rsid w:val="1BB27180"/>
    <w:rsid w:val="1BC37345"/>
    <w:rsid w:val="1C113D11"/>
    <w:rsid w:val="1C2900C3"/>
    <w:rsid w:val="1C536B8E"/>
    <w:rsid w:val="1C5E370A"/>
    <w:rsid w:val="1C801A29"/>
    <w:rsid w:val="1C8C7F46"/>
    <w:rsid w:val="1CA94A00"/>
    <w:rsid w:val="1CC76337"/>
    <w:rsid w:val="1CF86E72"/>
    <w:rsid w:val="1D763736"/>
    <w:rsid w:val="1DAF42FB"/>
    <w:rsid w:val="1DB82816"/>
    <w:rsid w:val="1DC35391"/>
    <w:rsid w:val="1E574E31"/>
    <w:rsid w:val="1E62453F"/>
    <w:rsid w:val="1E6F24FC"/>
    <w:rsid w:val="1E9E040F"/>
    <w:rsid w:val="1EC7640D"/>
    <w:rsid w:val="1EE6343F"/>
    <w:rsid w:val="1F4E51C8"/>
    <w:rsid w:val="1F5D78AF"/>
    <w:rsid w:val="1F797E52"/>
    <w:rsid w:val="1F8964CB"/>
    <w:rsid w:val="1FC55C88"/>
    <w:rsid w:val="1FC7293F"/>
    <w:rsid w:val="1FD013DE"/>
    <w:rsid w:val="205E3C5D"/>
    <w:rsid w:val="2065507B"/>
    <w:rsid w:val="20694185"/>
    <w:rsid w:val="206B14DC"/>
    <w:rsid w:val="20EE0FE9"/>
    <w:rsid w:val="20EE6788"/>
    <w:rsid w:val="212C3FD0"/>
    <w:rsid w:val="214964AC"/>
    <w:rsid w:val="21656CD6"/>
    <w:rsid w:val="216A0CFE"/>
    <w:rsid w:val="21733168"/>
    <w:rsid w:val="2178641B"/>
    <w:rsid w:val="21C61BB0"/>
    <w:rsid w:val="21D06385"/>
    <w:rsid w:val="222F54A5"/>
    <w:rsid w:val="2258054D"/>
    <w:rsid w:val="2274627B"/>
    <w:rsid w:val="2289137A"/>
    <w:rsid w:val="22A379E2"/>
    <w:rsid w:val="22E01A46"/>
    <w:rsid w:val="22F66958"/>
    <w:rsid w:val="2305495A"/>
    <w:rsid w:val="23903A5F"/>
    <w:rsid w:val="23BA1328"/>
    <w:rsid w:val="23BF4E20"/>
    <w:rsid w:val="23D03B6C"/>
    <w:rsid w:val="23D155D0"/>
    <w:rsid w:val="23D833D2"/>
    <w:rsid w:val="24A713B1"/>
    <w:rsid w:val="24C3545E"/>
    <w:rsid w:val="2510555E"/>
    <w:rsid w:val="251F255E"/>
    <w:rsid w:val="25A1425C"/>
    <w:rsid w:val="25D17B9A"/>
    <w:rsid w:val="260300D8"/>
    <w:rsid w:val="26052DAE"/>
    <w:rsid w:val="263D56F9"/>
    <w:rsid w:val="2650543A"/>
    <w:rsid w:val="2670658E"/>
    <w:rsid w:val="26741902"/>
    <w:rsid w:val="26826583"/>
    <w:rsid w:val="268F0E59"/>
    <w:rsid w:val="26DA25CB"/>
    <w:rsid w:val="273D31BF"/>
    <w:rsid w:val="27451502"/>
    <w:rsid w:val="27A85292"/>
    <w:rsid w:val="28442404"/>
    <w:rsid w:val="28653F5A"/>
    <w:rsid w:val="28745BEF"/>
    <w:rsid w:val="28DB2DFB"/>
    <w:rsid w:val="28EC600C"/>
    <w:rsid w:val="28F87154"/>
    <w:rsid w:val="28F8742F"/>
    <w:rsid w:val="292F0C57"/>
    <w:rsid w:val="294C7E51"/>
    <w:rsid w:val="29645F38"/>
    <w:rsid w:val="296E4842"/>
    <w:rsid w:val="29730E32"/>
    <w:rsid w:val="297A0D3B"/>
    <w:rsid w:val="298D516E"/>
    <w:rsid w:val="298E53EB"/>
    <w:rsid w:val="299F0AD9"/>
    <w:rsid w:val="29F00112"/>
    <w:rsid w:val="2A0A45DD"/>
    <w:rsid w:val="2A4A43D2"/>
    <w:rsid w:val="2A5D04D4"/>
    <w:rsid w:val="2ACA2711"/>
    <w:rsid w:val="2AE01BD6"/>
    <w:rsid w:val="2AE45F1B"/>
    <w:rsid w:val="2B235379"/>
    <w:rsid w:val="2B3F716D"/>
    <w:rsid w:val="2B89459E"/>
    <w:rsid w:val="2B937D0B"/>
    <w:rsid w:val="2B984D38"/>
    <w:rsid w:val="2BA04E22"/>
    <w:rsid w:val="2BA33828"/>
    <w:rsid w:val="2BAD08B5"/>
    <w:rsid w:val="2BE94B33"/>
    <w:rsid w:val="2BF90887"/>
    <w:rsid w:val="2C163E61"/>
    <w:rsid w:val="2C39732D"/>
    <w:rsid w:val="2C42100B"/>
    <w:rsid w:val="2C5E2C85"/>
    <w:rsid w:val="2CAA00D6"/>
    <w:rsid w:val="2CDF1DDE"/>
    <w:rsid w:val="2CFF49DE"/>
    <w:rsid w:val="2D1B4193"/>
    <w:rsid w:val="2D411C1C"/>
    <w:rsid w:val="2D5E6653"/>
    <w:rsid w:val="2D615B15"/>
    <w:rsid w:val="2D853001"/>
    <w:rsid w:val="2DA7343A"/>
    <w:rsid w:val="2E0A6195"/>
    <w:rsid w:val="2E3F6F72"/>
    <w:rsid w:val="2E5A7219"/>
    <w:rsid w:val="2EDB4DBB"/>
    <w:rsid w:val="2EE12975"/>
    <w:rsid w:val="2F0106CB"/>
    <w:rsid w:val="2F3606EA"/>
    <w:rsid w:val="2F455F1D"/>
    <w:rsid w:val="2F933A9E"/>
    <w:rsid w:val="2F95371E"/>
    <w:rsid w:val="2FA675EA"/>
    <w:rsid w:val="2FBE7EF5"/>
    <w:rsid w:val="30160894"/>
    <w:rsid w:val="30162047"/>
    <w:rsid w:val="301E19F4"/>
    <w:rsid w:val="30226805"/>
    <w:rsid w:val="30960F33"/>
    <w:rsid w:val="30BB3500"/>
    <w:rsid w:val="312B28BA"/>
    <w:rsid w:val="313C3EB6"/>
    <w:rsid w:val="316921FE"/>
    <w:rsid w:val="316A77CF"/>
    <w:rsid w:val="323B2146"/>
    <w:rsid w:val="325F0AFD"/>
    <w:rsid w:val="32863680"/>
    <w:rsid w:val="32BA22AC"/>
    <w:rsid w:val="32D8325C"/>
    <w:rsid w:val="32FC4D34"/>
    <w:rsid w:val="3308275B"/>
    <w:rsid w:val="333861BF"/>
    <w:rsid w:val="33430942"/>
    <w:rsid w:val="339F746B"/>
    <w:rsid w:val="33A616A5"/>
    <w:rsid w:val="33C0289B"/>
    <w:rsid w:val="343D00DD"/>
    <w:rsid w:val="344714D3"/>
    <w:rsid w:val="344C595B"/>
    <w:rsid w:val="349F1B61"/>
    <w:rsid w:val="34A91596"/>
    <w:rsid w:val="34CA6229"/>
    <w:rsid w:val="35106BFE"/>
    <w:rsid w:val="35241F22"/>
    <w:rsid w:val="358964D1"/>
    <w:rsid w:val="358C4495"/>
    <w:rsid w:val="35B93933"/>
    <w:rsid w:val="35BD580F"/>
    <w:rsid w:val="35C07A3B"/>
    <w:rsid w:val="35DF76EE"/>
    <w:rsid w:val="35F46645"/>
    <w:rsid w:val="365554EB"/>
    <w:rsid w:val="3665184D"/>
    <w:rsid w:val="36663EA2"/>
    <w:rsid w:val="367B6FB5"/>
    <w:rsid w:val="36D9180C"/>
    <w:rsid w:val="37024D49"/>
    <w:rsid w:val="37146C3C"/>
    <w:rsid w:val="371F0B21"/>
    <w:rsid w:val="37284E0F"/>
    <w:rsid w:val="37397716"/>
    <w:rsid w:val="375C626F"/>
    <w:rsid w:val="379C458F"/>
    <w:rsid w:val="37AB6AE5"/>
    <w:rsid w:val="37BA4071"/>
    <w:rsid w:val="37BD1A7F"/>
    <w:rsid w:val="37E2209B"/>
    <w:rsid w:val="37F45765"/>
    <w:rsid w:val="383407C4"/>
    <w:rsid w:val="384640C2"/>
    <w:rsid w:val="385A0A04"/>
    <w:rsid w:val="386C17FA"/>
    <w:rsid w:val="38717EDD"/>
    <w:rsid w:val="38ED00CB"/>
    <w:rsid w:val="393C0FF6"/>
    <w:rsid w:val="396A7A9B"/>
    <w:rsid w:val="397F6DBC"/>
    <w:rsid w:val="39985E8D"/>
    <w:rsid w:val="39AD747B"/>
    <w:rsid w:val="39D5789D"/>
    <w:rsid w:val="3A53516C"/>
    <w:rsid w:val="3A8A2E97"/>
    <w:rsid w:val="3AA63B79"/>
    <w:rsid w:val="3AC432AB"/>
    <w:rsid w:val="3AE17129"/>
    <w:rsid w:val="3AE657AF"/>
    <w:rsid w:val="3B7B0044"/>
    <w:rsid w:val="3B851947"/>
    <w:rsid w:val="3BC552F8"/>
    <w:rsid w:val="3BD15F85"/>
    <w:rsid w:val="3BE14B8F"/>
    <w:rsid w:val="3C091D3A"/>
    <w:rsid w:val="3C0C5734"/>
    <w:rsid w:val="3C0D6054"/>
    <w:rsid w:val="3C114BDB"/>
    <w:rsid w:val="3C3144CC"/>
    <w:rsid w:val="3C707631"/>
    <w:rsid w:val="3C73623A"/>
    <w:rsid w:val="3CB76450"/>
    <w:rsid w:val="3D11683D"/>
    <w:rsid w:val="3D3354F3"/>
    <w:rsid w:val="3D385B61"/>
    <w:rsid w:val="3D482D9A"/>
    <w:rsid w:val="3D880301"/>
    <w:rsid w:val="3DAE2280"/>
    <w:rsid w:val="3DDF0D0F"/>
    <w:rsid w:val="3DE020EF"/>
    <w:rsid w:val="3E124ADE"/>
    <w:rsid w:val="3E135CE6"/>
    <w:rsid w:val="3E214C4C"/>
    <w:rsid w:val="3E4D0BBE"/>
    <w:rsid w:val="3E611B2D"/>
    <w:rsid w:val="3E657F77"/>
    <w:rsid w:val="3E6853F0"/>
    <w:rsid w:val="3E6D1878"/>
    <w:rsid w:val="3EA242D1"/>
    <w:rsid w:val="3EC01280"/>
    <w:rsid w:val="3ED81271"/>
    <w:rsid w:val="3EDA5F2B"/>
    <w:rsid w:val="3F2469A9"/>
    <w:rsid w:val="3F862C4B"/>
    <w:rsid w:val="3F87786E"/>
    <w:rsid w:val="3FA141F3"/>
    <w:rsid w:val="3FA224FF"/>
    <w:rsid w:val="3FA702FB"/>
    <w:rsid w:val="3FC26926"/>
    <w:rsid w:val="3FC6532D"/>
    <w:rsid w:val="3FE24E20"/>
    <w:rsid w:val="3FF10940"/>
    <w:rsid w:val="4007741B"/>
    <w:rsid w:val="403B1563"/>
    <w:rsid w:val="40550DCF"/>
    <w:rsid w:val="409A44DC"/>
    <w:rsid w:val="40C27461"/>
    <w:rsid w:val="40C66554"/>
    <w:rsid w:val="40DC28F6"/>
    <w:rsid w:val="411326A2"/>
    <w:rsid w:val="413B3F95"/>
    <w:rsid w:val="41945E2E"/>
    <w:rsid w:val="41965380"/>
    <w:rsid w:val="41AD1B11"/>
    <w:rsid w:val="41EB6337"/>
    <w:rsid w:val="420226D9"/>
    <w:rsid w:val="427D2022"/>
    <w:rsid w:val="42846AE2"/>
    <w:rsid w:val="42B24DA4"/>
    <w:rsid w:val="42B53B48"/>
    <w:rsid w:val="42EE3904"/>
    <w:rsid w:val="42FF2D03"/>
    <w:rsid w:val="43166D40"/>
    <w:rsid w:val="43236CBF"/>
    <w:rsid w:val="433604B2"/>
    <w:rsid w:val="434F2A75"/>
    <w:rsid w:val="43766C3A"/>
    <w:rsid w:val="438163CD"/>
    <w:rsid w:val="43A81B71"/>
    <w:rsid w:val="43AE6C18"/>
    <w:rsid w:val="43AF0664"/>
    <w:rsid w:val="43B41D58"/>
    <w:rsid w:val="44015830"/>
    <w:rsid w:val="442010AE"/>
    <w:rsid w:val="44293363"/>
    <w:rsid w:val="448117F3"/>
    <w:rsid w:val="44B40D48"/>
    <w:rsid w:val="44C30184"/>
    <w:rsid w:val="44E86CCF"/>
    <w:rsid w:val="450751C6"/>
    <w:rsid w:val="45440C37"/>
    <w:rsid w:val="45584F5C"/>
    <w:rsid w:val="455C06CA"/>
    <w:rsid w:val="455C0CC4"/>
    <w:rsid w:val="45636562"/>
    <w:rsid w:val="458C2FAA"/>
    <w:rsid w:val="458F06AB"/>
    <w:rsid w:val="459A2860"/>
    <w:rsid w:val="45DE14EC"/>
    <w:rsid w:val="45FF0ADF"/>
    <w:rsid w:val="46841EB6"/>
    <w:rsid w:val="46AE6675"/>
    <w:rsid w:val="46F95FEA"/>
    <w:rsid w:val="47030788"/>
    <w:rsid w:val="471B30C3"/>
    <w:rsid w:val="47330D5C"/>
    <w:rsid w:val="475F3592"/>
    <w:rsid w:val="4760218C"/>
    <w:rsid w:val="477A6F52"/>
    <w:rsid w:val="47F00216"/>
    <w:rsid w:val="47FB1261"/>
    <w:rsid w:val="48017381"/>
    <w:rsid w:val="48432C04"/>
    <w:rsid w:val="487061E5"/>
    <w:rsid w:val="48862121"/>
    <w:rsid w:val="48A67D4C"/>
    <w:rsid w:val="48A842A9"/>
    <w:rsid w:val="48AA6A4C"/>
    <w:rsid w:val="48C84676"/>
    <w:rsid w:val="48D2458A"/>
    <w:rsid w:val="491A23A6"/>
    <w:rsid w:val="4920616E"/>
    <w:rsid w:val="494A174C"/>
    <w:rsid w:val="494B7623"/>
    <w:rsid w:val="495160D5"/>
    <w:rsid w:val="49A068D7"/>
    <w:rsid w:val="49B358F8"/>
    <w:rsid w:val="49EB2AE0"/>
    <w:rsid w:val="49FA31FA"/>
    <w:rsid w:val="4A1331A5"/>
    <w:rsid w:val="4A1C0855"/>
    <w:rsid w:val="4A7E74AD"/>
    <w:rsid w:val="4A993A56"/>
    <w:rsid w:val="4AA6489C"/>
    <w:rsid w:val="4AB46923"/>
    <w:rsid w:val="4AB701DC"/>
    <w:rsid w:val="4B315BD1"/>
    <w:rsid w:val="4B3237EB"/>
    <w:rsid w:val="4B80136B"/>
    <w:rsid w:val="4B8C214D"/>
    <w:rsid w:val="4C17773E"/>
    <w:rsid w:val="4C180061"/>
    <w:rsid w:val="4C2D2789"/>
    <w:rsid w:val="4C45040C"/>
    <w:rsid w:val="4C60438C"/>
    <w:rsid w:val="4C6A13FA"/>
    <w:rsid w:val="4C6B006F"/>
    <w:rsid w:val="4C88552D"/>
    <w:rsid w:val="4CB2736F"/>
    <w:rsid w:val="4CBE2769"/>
    <w:rsid w:val="4D0F5920"/>
    <w:rsid w:val="4D5D0D6B"/>
    <w:rsid w:val="4D6F2026"/>
    <w:rsid w:val="4D9543A0"/>
    <w:rsid w:val="4DA53154"/>
    <w:rsid w:val="4DB72290"/>
    <w:rsid w:val="4DD41276"/>
    <w:rsid w:val="4DE578DC"/>
    <w:rsid w:val="4DF61D74"/>
    <w:rsid w:val="4DFB3CDC"/>
    <w:rsid w:val="4E08009B"/>
    <w:rsid w:val="4EBA2DB7"/>
    <w:rsid w:val="4EBD75BF"/>
    <w:rsid w:val="4ED12382"/>
    <w:rsid w:val="4EE5030A"/>
    <w:rsid w:val="4F051F32"/>
    <w:rsid w:val="4F406FC5"/>
    <w:rsid w:val="4F93551D"/>
    <w:rsid w:val="4FBB61DD"/>
    <w:rsid w:val="4FF76E32"/>
    <w:rsid w:val="4FF86042"/>
    <w:rsid w:val="500E14B5"/>
    <w:rsid w:val="502B73F4"/>
    <w:rsid w:val="50537655"/>
    <w:rsid w:val="506C6001"/>
    <w:rsid w:val="508B5231"/>
    <w:rsid w:val="50C54111"/>
    <w:rsid w:val="50F72361"/>
    <w:rsid w:val="51170444"/>
    <w:rsid w:val="51307D28"/>
    <w:rsid w:val="51326CC3"/>
    <w:rsid w:val="5185141A"/>
    <w:rsid w:val="518A6048"/>
    <w:rsid w:val="51976AC7"/>
    <w:rsid w:val="51A1671E"/>
    <w:rsid w:val="51BD6407"/>
    <w:rsid w:val="5248688E"/>
    <w:rsid w:val="52561883"/>
    <w:rsid w:val="528C01F9"/>
    <w:rsid w:val="52AA076E"/>
    <w:rsid w:val="52B648C1"/>
    <w:rsid w:val="52DC126A"/>
    <w:rsid w:val="52F7312C"/>
    <w:rsid w:val="530F07D3"/>
    <w:rsid w:val="537C59B1"/>
    <w:rsid w:val="53DF342A"/>
    <w:rsid w:val="53E3402E"/>
    <w:rsid w:val="53FD045B"/>
    <w:rsid w:val="54135611"/>
    <w:rsid w:val="54172E77"/>
    <w:rsid w:val="543350B2"/>
    <w:rsid w:val="546A6839"/>
    <w:rsid w:val="54D754F8"/>
    <w:rsid w:val="54DA7A4D"/>
    <w:rsid w:val="54E06CB6"/>
    <w:rsid w:val="552E4F32"/>
    <w:rsid w:val="5537421F"/>
    <w:rsid w:val="5552550A"/>
    <w:rsid w:val="559262F3"/>
    <w:rsid w:val="559C4684"/>
    <w:rsid w:val="55AA2E74"/>
    <w:rsid w:val="55C33B96"/>
    <w:rsid w:val="55FA1A6B"/>
    <w:rsid w:val="562619C4"/>
    <w:rsid w:val="563543B3"/>
    <w:rsid w:val="563A433F"/>
    <w:rsid w:val="56750AE4"/>
    <w:rsid w:val="568455EC"/>
    <w:rsid w:val="56A65531"/>
    <w:rsid w:val="56A95ABB"/>
    <w:rsid w:val="56BD288D"/>
    <w:rsid w:val="56CE0279"/>
    <w:rsid w:val="56E654E3"/>
    <w:rsid w:val="572A6725"/>
    <w:rsid w:val="572B0FE9"/>
    <w:rsid w:val="575B1B54"/>
    <w:rsid w:val="57F9671B"/>
    <w:rsid w:val="58075160"/>
    <w:rsid w:val="58254B2D"/>
    <w:rsid w:val="58300010"/>
    <w:rsid w:val="583E3953"/>
    <w:rsid w:val="585039A6"/>
    <w:rsid w:val="587F0709"/>
    <w:rsid w:val="58C63116"/>
    <w:rsid w:val="58E61F3B"/>
    <w:rsid w:val="58E74122"/>
    <w:rsid w:val="58EB24F7"/>
    <w:rsid w:val="5936505F"/>
    <w:rsid w:val="59661E86"/>
    <w:rsid w:val="598A113A"/>
    <w:rsid w:val="59A26A9D"/>
    <w:rsid w:val="59DA36DD"/>
    <w:rsid w:val="5A2A4069"/>
    <w:rsid w:val="5A471CC6"/>
    <w:rsid w:val="5A5608F3"/>
    <w:rsid w:val="5A742F02"/>
    <w:rsid w:val="5A8E77F5"/>
    <w:rsid w:val="5ACD442C"/>
    <w:rsid w:val="5AE470AA"/>
    <w:rsid w:val="5B013065"/>
    <w:rsid w:val="5B5309E2"/>
    <w:rsid w:val="5B587797"/>
    <w:rsid w:val="5B810D59"/>
    <w:rsid w:val="5B8D1AC1"/>
    <w:rsid w:val="5B97061F"/>
    <w:rsid w:val="5C006F22"/>
    <w:rsid w:val="5C264B91"/>
    <w:rsid w:val="5C5D2B35"/>
    <w:rsid w:val="5CB62828"/>
    <w:rsid w:val="5CC1443C"/>
    <w:rsid w:val="5CD57859"/>
    <w:rsid w:val="5D001AFF"/>
    <w:rsid w:val="5D0A59C9"/>
    <w:rsid w:val="5D0D5F64"/>
    <w:rsid w:val="5D1560C5"/>
    <w:rsid w:val="5D160A8A"/>
    <w:rsid w:val="5D5533D9"/>
    <w:rsid w:val="5D897DCB"/>
    <w:rsid w:val="5DE6679D"/>
    <w:rsid w:val="5E0C5358"/>
    <w:rsid w:val="5E186BA3"/>
    <w:rsid w:val="5E6C2174"/>
    <w:rsid w:val="5EAF4127"/>
    <w:rsid w:val="5F184590"/>
    <w:rsid w:val="5F2B6CB3"/>
    <w:rsid w:val="5F546974"/>
    <w:rsid w:val="5F820CDD"/>
    <w:rsid w:val="5FA703C5"/>
    <w:rsid w:val="5FB40A34"/>
    <w:rsid w:val="5FBC509E"/>
    <w:rsid w:val="60BE6DB7"/>
    <w:rsid w:val="60D35F30"/>
    <w:rsid w:val="61470FF1"/>
    <w:rsid w:val="61A21E16"/>
    <w:rsid w:val="61E202A7"/>
    <w:rsid w:val="61FB33CF"/>
    <w:rsid w:val="62481B92"/>
    <w:rsid w:val="6251635C"/>
    <w:rsid w:val="62683102"/>
    <w:rsid w:val="631E222D"/>
    <w:rsid w:val="63A25842"/>
    <w:rsid w:val="63A94608"/>
    <w:rsid w:val="63E079CB"/>
    <w:rsid w:val="63E818F6"/>
    <w:rsid w:val="63EA73A4"/>
    <w:rsid w:val="63F3457C"/>
    <w:rsid w:val="644B741C"/>
    <w:rsid w:val="646A015D"/>
    <w:rsid w:val="647933E3"/>
    <w:rsid w:val="64833355"/>
    <w:rsid w:val="64C45DE1"/>
    <w:rsid w:val="64DE6447"/>
    <w:rsid w:val="64F073DC"/>
    <w:rsid w:val="651200DE"/>
    <w:rsid w:val="652B12FB"/>
    <w:rsid w:val="652D1F8D"/>
    <w:rsid w:val="654721AC"/>
    <w:rsid w:val="655962D4"/>
    <w:rsid w:val="6573281D"/>
    <w:rsid w:val="658D1491"/>
    <w:rsid w:val="65F63ADC"/>
    <w:rsid w:val="660157E8"/>
    <w:rsid w:val="66171B8A"/>
    <w:rsid w:val="66290127"/>
    <w:rsid w:val="666721A3"/>
    <w:rsid w:val="66860C0E"/>
    <w:rsid w:val="66962F14"/>
    <w:rsid w:val="66A178F0"/>
    <w:rsid w:val="66AD754B"/>
    <w:rsid w:val="66BC5F1C"/>
    <w:rsid w:val="66C62888"/>
    <w:rsid w:val="67B428A1"/>
    <w:rsid w:val="67B71637"/>
    <w:rsid w:val="67C63E4F"/>
    <w:rsid w:val="67F820A0"/>
    <w:rsid w:val="681A4F2B"/>
    <w:rsid w:val="68225F0E"/>
    <w:rsid w:val="68253764"/>
    <w:rsid w:val="68272709"/>
    <w:rsid w:val="68326D82"/>
    <w:rsid w:val="683D21F3"/>
    <w:rsid w:val="68570E8F"/>
    <w:rsid w:val="68592639"/>
    <w:rsid w:val="6869641E"/>
    <w:rsid w:val="68CF5894"/>
    <w:rsid w:val="68F42EB1"/>
    <w:rsid w:val="68F67530"/>
    <w:rsid w:val="68FB1277"/>
    <w:rsid w:val="690E66EE"/>
    <w:rsid w:val="69434E61"/>
    <w:rsid w:val="69897BDB"/>
    <w:rsid w:val="69A732EF"/>
    <w:rsid w:val="69C8604E"/>
    <w:rsid w:val="69CE2A93"/>
    <w:rsid w:val="6A37294F"/>
    <w:rsid w:val="6A3D08C3"/>
    <w:rsid w:val="6A532EF8"/>
    <w:rsid w:val="6AEB6C07"/>
    <w:rsid w:val="6B0A5E88"/>
    <w:rsid w:val="6B263715"/>
    <w:rsid w:val="6B424106"/>
    <w:rsid w:val="6B88487B"/>
    <w:rsid w:val="6BA86721"/>
    <w:rsid w:val="6BD72DB0"/>
    <w:rsid w:val="6BE72003"/>
    <w:rsid w:val="6BF3326C"/>
    <w:rsid w:val="6C0528A2"/>
    <w:rsid w:val="6C14445E"/>
    <w:rsid w:val="6C2D7F4E"/>
    <w:rsid w:val="6C3A2120"/>
    <w:rsid w:val="6C3F211B"/>
    <w:rsid w:val="6C597151"/>
    <w:rsid w:val="6C886593"/>
    <w:rsid w:val="6CA37A17"/>
    <w:rsid w:val="6CB73516"/>
    <w:rsid w:val="6CED6718"/>
    <w:rsid w:val="6D337299"/>
    <w:rsid w:val="6E091096"/>
    <w:rsid w:val="6E140733"/>
    <w:rsid w:val="6E245F2B"/>
    <w:rsid w:val="6E341EDA"/>
    <w:rsid w:val="6E3D30D5"/>
    <w:rsid w:val="6E57007A"/>
    <w:rsid w:val="6E712CFB"/>
    <w:rsid w:val="6E8A2C4D"/>
    <w:rsid w:val="6EC707D9"/>
    <w:rsid w:val="6F0D5441"/>
    <w:rsid w:val="6F30110D"/>
    <w:rsid w:val="6F456A88"/>
    <w:rsid w:val="6F5D2896"/>
    <w:rsid w:val="6F604EE7"/>
    <w:rsid w:val="6F6C545A"/>
    <w:rsid w:val="6F707DA3"/>
    <w:rsid w:val="6F8F0E00"/>
    <w:rsid w:val="6FA6675B"/>
    <w:rsid w:val="6FAA5FFD"/>
    <w:rsid w:val="6FE3419F"/>
    <w:rsid w:val="70807521"/>
    <w:rsid w:val="70A31142"/>
    <w:rsid w:val="70E22E6B"/>
    <w:rsid w:val="70E85C4B"/>
    <w:rsid w:val="70EC6494"/>
    <w:rsid w:val="710245F7"/>
    <w:rsid w:val="71296F24"/>
    <w:rsid w:val="71333A0D"/>
    <w:rsid w:val="71485127"/>
    <w:rsid w:val="7150413B"/>
    <w:rsid w:val="716E5FB2"/>
    <w:rsid w:val="717A3343"/>
    <w:rsid w:val="717D06BD"/>
    <w:rsid w:val="719E357C"/>
    <w:rsid w:val="71B07ED2"/>
    <w:rsid w:val="720930EC"/>
    <w:rsid w:val="724D4EA5"/>
    <w:rsid w:val="724D5513"/>
    <w:rsid w:val="7284346E"/>
    <w:rsid w:val="72977CE5"/>
    <w:rsid w:val="72B72541"/>
    <w:rsid w:val="73231CF3"/>
    <w:rsid w:val="73AA3B57"/>
    <w:rsid w:val="741E29DB"/>
    <w:rsid w:val="74406C2C"/>
    <w:rsid w:val="746A200A"/>
    <w:rsid w:val="74744461"/>
    <w:rsid w:val="7488030F"/>
    <w:rsid w:val="74E25380"/>
    <w:rsid w:val="75133FB1"/>
    <w:rsid w:val="75266214"/>
    <w:rsid w:val="752761A6"/>
    <w:rsid w:val="756C6735"/>
    <w:rsid w:val="75735568"/>
    <w:rsid w:val="75AD4692"/>
    <w:rsid w:val="75F82EF2"/>
    <w:rsid w:val="762C1258"/>
    <w:rsid w:val="766E3DB2"/>
    <w:rsid w:val="76C015D4"/>
    <w:rsid w:val="77061A9F"/>
    <w:rsid w:val="771B10DC"/>
    <w:rsid w:val="772105E7"/>
    <w:rsid w:val="77284EB3"/>
    <w:rsid w:val="77AB34F9"/>
    <w:rsid w:val="77AF2FCE"/>
    <w:rsid w:val="77B804F8"/>
    <w:rsid w:val="77C13386"/>
    <w:rsid w:val="77C84E07"/>
    <w:rsid w:val="77EC732A"/>
    <w:rsid w:val="77ED5A02"/>
    <w:rsid w:val="77F24F4D"/>
    <w:rsid w:val="78186DAA"/>
    <w:rsid w:val="784E2990"/>
    <w:rsid w:val="7890575B"/>
    <w:rsid w:val="78A85862"/>
    <w:rsid w:val="78CB70BB"/>
    <w:rsid w:val="78CC4B3D"/>
    <w:rsid w:val="79196E3A"/>
    <w:rsid w:val="79260755"/>
    <w:rsid w:val="79655298"/>
    <w:rsid w:val="7968023E"/>
    <w:rsid w:val="798968C0"/>
    <w:rsid w:val="79C67BF4"/>
    <w:rsid w:val="79CC17D0"/>
    <w:rsid w:val="7A35410F"/>
    <w:rsid w:val="7A3F4A1F"/>
    <w:rsid w:val="7A49752C"/>
    <w:rsid w:val="7A7A37F9"/>
    <w:rsid w:val="7AA73149"/>
    <w:rsid w:val="7AA75347"/>
    <w:rsid w:val="7B227828"/>
    <w:rsid w:val="7B825118"/>
    <w:rsid w:val="7B867536"/>
    <w:rsid w:val="7BAD0F8C"/>
    <w:rsid w:val="7BB3422D"/>
    <w:rsid w:val="7BC3261C"/>
    <w:rsid w:val="7BCC3A10"/>
    <w:rsid w:val="7C0E5E74"/>
    <w:rsid w:val="7C2F774D"/>
    <w:rsid w:val="7C38637B"/>
    <w:rsid w:val="7CA75DEB"/>
    <w:rsid w:val="7CC320E9"/>
    <w:rsid w:val="7CCE747C"/>
    <w:rsid w:val="7CDD2D69"/>
    <w:rsid w:val="7CE27E0A"/>
    <w:rsid w:val="7CE745DC"/>
    <w:rsid w:val="7D372BA7"/>
    <w:rsid w:val="7D7257D3"/>
    <w:rsid w:val="7D885EC5"/>
    <w:rsid w:val="7DBF335B"/>
    <w:rsid w:val="7DD91D07"/>
    <w:rsid w:val="7DDA4615"/>
    <w:rsid w:val="7E175008"/>
    <w:rsid w:val="7E215319"/>
    <w:rsid w:val="7E410432"/>
    <w:rsid w:val="7E846F5C"/>
    <w:rsid w:val="7EB959EF"/>
    <w:rsid w:val="7ECB467D"/>
    <w:rsid w:val="7F4C1570"/>
    <w:rsid w:val="7F7207A3"/>
    <w:rsid w:val="7F9041A2"/>
    <w:rsid w:val="7F9554E0"/>
    <w:rsid w:val="7FA748D2"/>
    <w:rsid w:val="7FB42512"/>
    <w:rsid w:val="7FB45E27"/>
    <w:rsid w:val="7FBD0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keepNext/>
      <w:keepLines/>
      <w:spacing w:line="560" w:lineRule="exact"/>
      <w:jc w:val="center"/>
      <w:outlineLvl w:val="1"/>
    </w:pPr>
    <w:rPr>
      <w:rFonts w:ascii="Times New Roman" w:hAnsi="Times New Roman" w:eastAsia="楷体_GB2312" w:cstheme="majorBidi"/>
    </w:rPr>
  </w:style>
  <w:style w:type="paragraph" w:styleId="4">
    <w:name w:val="heading 3"/>
    <w:basedOn w:val="1"/>
    <w:next w:val="1"/>
    <w:semiHidden/>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pPr>
      <w:spacing w:after="120"/>
      <w:ind w:firstLine="640" w:firstLineChars="200"/>
    </w:pPr>
  </w:style>
  <w:style w:type="paragraph" w:styleId="8">
    <w:name w:val="footer"/>
    <w:basedOn w:val="1"/>
    <w:link w:val="26"/>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footnote text"/>
    <w:basedOn w:val="1"/>
    <w:qFormat/>
    <w:uiPriority w:val="0"/>
    <w:pPr>
      <w:snapToGrid w:val="0"/>
      <w:spacing w:line="560" w:lineRule="exact"/>
      <w:jc w:val="left"/>
    </w:pPr>
    <w:rPr>
      <w:rFonts w:ascii="Times New Roman" w:hAnsi="Times New Roman" w:cs="Times New Roman"/>
      <w:sz w:val="18"/>
      <w:szCs w:val="28"/>
    </w:rPr>
  </w:style>
  <w:style w:type="paragraph" w:styleId="12">
    <w:name w:val="toc 2"/>
    <w:basedOn w:val="1"/>
    <w:next w:val="1"/>
    <w:qFormat/>
    <w:uiPriority w:val="0"/>
    <w:pPr>
      <w:ind w:left="420" w:leftChars="200"/>
    </w:p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7"/>
    <w:qFormat/>
    <w:uiPriority w:val="0"/>
    <w:pPr>
      <w:ind w:firstLine="420" w:firstLineChars="100"/>
    </w:pPr>
    <w:rPr>
      <w:rFonts w:ascii="Times New Roman" w:hAnsi="Times New Roman" w:eastAsia="宋体"/>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styleId="20">
    <w:name w:val="annotation reference"/>
    <w:basedOn w:val="17"/>
    <w:qFormat/>
    <w:uiPriority w:val="0"/>
    <w:rPr>
      <w:sz w:val="16"/>
      <w:szCs w:val="16"/>
    </w:rPr>
  </w:style>
  <w:style w:type="character" w:styleId="21">
    <w:name w:val="footnote reference"/>
    <w:basedOn w:val="17"/>
    <w:qFormat/>
    <w:uiPriority w:val="0"/>
    <w:rPr>
      <w:rFonts w:ascii="Times New Roman" w:hAnsi="Times New Roman" w:eastAsia="宋体" w:cs="Times New Roman"/>
      <w:kern w:val="24"/>
      <w:sz w:val="24"/>
      <w:szCs w:val="24"/>
      <w:vertAlign w:val="superscript"/>
    </w:rPr>
  </w:style>
  <w:style w:type="paragraph" w:customStyle="1" w:styleId="22">
    <w:name w:val="样式2"/>
    <w:basedOn w:val="1"/>
    <w:qFormat/>
    <w:uiPriority w:val="0"/>
    <w:pPr>
      <w:ind w:firstLine="640" w:firstLineChars="200"/>
    </w:pPr>
    <w:rPr>
      <w:rFonts w:hint="eastAsia" w:ascii="Calibri" w:hAnsi="Calibri" w:eastAsia="宋体" w:cs="Times New Roman"/>
      <w:szCs w:val="22"/>
    </w:rPr>
  </w:style>
  <w:style w:type="paragraph" w:customStyle="1" w:styleId="23">
    <w:name w:val="_Style 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Default"/>
    <w:next w:val="1"/>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customStyle="1" w:styleId="25">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6">
    <w:name w:val="页脚 字符"/>
    <w:basedOn w:val="17"/>
    <w:link w:val="8"/>
    <w:qFormat/>
    <w:uiPriority w:val="99"/>
    <w:rPr>
      <w:rFonts w:asciiTheme="minorHAnsi" w:hAnsiTheme="minorHAnsi" w:eastAsiaTheme="minorEastAsia" w:cstheme="minorBidi"/>
      <w:kern w:val="2"/>
      <w:sz w:val="18"/>
      <w:szCs w:val="24"/>
    </w:rPr>
  </w:style>
  <w:style w:type="character" w:customStyle="1" w:styleId="27">
    <w:name w:val="font31"/>
    <w:basedOn w:val="17"/>
    <w:qFormat/>
    <w:uiPriority w:val="0"/>
    <w:rPr>
      <w:rFonts w:hint="default" w:ascii="Times New Roman" w:hAnsi="Times New Roman" w:cs="Times New Roman"/>
      <w:color w:val="000000"/>
      <w:sz w:val="28"/>
      <w:szCs w:val="28"/>
      <w:u w:val="none"/>
    </w:rPr>
  </w:style>
  <w:style w:type="character" w:customStyle="1" w:styleId="28">
    <w:name w:val="font21"/>
    <w:basedOn w:val="17"/>
    <w:qFormat/>
    <w:uiPriority w:val="0"/>
    <w:rPr>
      <w:rFonts w:hint="default" w:ascii="Times New Roman" w:hAnsi="Times New Roman" w:cs="Times New Roman"/>
      <w:color w:val="000000"/>
      <w:sz w:val="28"/>
      <w:szCs w:val="28"/>
      <w:u w:val="none"/>
    </w:rPr>
  </w:style>
  <w:style w:type="character" w:customStyle="1" w:styleId="29">
    <w:name w:val="font41"/>
    <w:basedOn w:val="17"/>
    <w:qFormat/>
    <w:uiPriority w:val="0"/>
    <w:rPr>
      <w:rFonts w:hint="eastAsia" w:ascii="宋体" w:hAnsi="宋体" w:eastAsia="宋体" w:cs="宋体"/>
      <w:color w:val="000000"/>
      <w:sz w:val="28"/>
      <w:szCs w:val="28"/>
      <w:u w:val="none"/>
    </w:rPr>
  </w:style>
  <w:style w:type="character" w:customStyle="1" w:styleId="30">
    <w:name w:val="font51"/>
    <w:basedOn w:val="17"/>
    <w:qFormat/>
    <w:uiPriority w:val="0"/>
    <w:rPr>
      <w:rFonts w:hint="default" w:ascii="Times New Roman" w:hAnsi="Times New Roman" w:cs="Times New Roman"/>
      <w:color w:val="000000"/>
      <w:sz w:val="28"/>
      <w:szCs w:val="28"/>
      <w:u w:val="none"/>
    </w:rPr>
  </w:style>
  <w:style w:type="character" w:customStyle="1" w:styleId="31">
    <w:name w:val="font11"/>
    <w:basedOn w:val="17"/>
    <w:qFormat/>
    <w:uiPriority w:val="0"/>
    <w:rPr>
      <w:rFonts w:hint="eastAsia" w:ascii="方正仿宋_GB2312" w:hAnsi="方正仿宋_GB2312" w:eastAsia="方正仿宋_GB2312" w:cs="方正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faa448-42a2-4736-a0d0-98839f61c738}">
  <ds:schemaRefs/>
</ds:datastoreItem>
</file>

<file path=customXml/itemProps3.xml><?xml version="1.0" encoding="utf-8"?>
<ds:datastoreItem xmlns:ds="http://schemas.openxmlformats.org/officeDocument/2006/customXml" ds:itemID="{169A645C-03F5-42B3-B99D-1BFA104A71EB}">
  <ds:schemaRefs/>
</ds:datastoreItem>
</file>

<file path=docProps/app.xml><?xml version="1.0" encoding="utf-8"?>
<Properties xmlns="http://schemas.openxmlformats.org/officeDocument/2006/extended-properties" xmlns:vt="http://schemas.openxmlformats.org/officeDocument/2006/docPropsVTypes">
  <Template>Normal</Template>
  <Pages>26</Pages>
  <Words>6969</Words>
  <Characters>7154</Characters>
  <Lines>264</Lines>
  <Paragraphs>74</Paragraphs>
  <TotalTime>1299</TotalTime>
  <ScaleCrop>false</ScaleCrop>
  <LinksUpToDate>false</LinksUpToDate>
  <CharactersWithSpaces>7192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2025-09-03T02:08:00Z</dcterms:created>
  <dc:creator>lemon鹿</dc:creator>
  <cp:lastModifiedBy>lemon鹿</cp:lastModifiedBy>
  <cp:lastPrinted>2026-04-13T08:33:00Z</cp:lastPrinted>
  <dcterms:modified xsi:type="dcterms:W3CDTF">2026-07-30T09:02:51Z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7323A6D78EBE49B8BD8F753F5A345D05_13</vt:lpwstr>
  </property>
  <property fmtid="{D5CDD505-2E9C-101B-9397-08002B2CF9AE}" pid="4" name="KSOTemplateDocerSaveRecord">
    <vt:lpwstr>eyJoZGlkIjoiOGUzNTJmNmMzY2EwNWU3NGM4ZjBkYmM1MmNmYjNmMjMiLCJ1c2VySWQiOiI0NDMwMjg5MjQifQ==</vt:lpwstr>
  </property>
</Properties>
</file>