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60FBA">
      <w:pPr>
        <w:spacing w:line="560" w:lineRule="exact"/>
        <w:jc w:val="center"/>
        <w:rPr>
          <w:rFonts w:ascii="Times New Roman" w:hAnsi="Times New Roman" w:eastAsia="方正小标宋简体" w:cs="Times New Roman"/>
          <w:sz w:val="44"/>
          <w:szCs w:val="44"/>
        </w:rPr>
      </w:pPr>
    </w:p>
    <w:p w14:paraId="47461781">
      <w:pPr>
        <w:spacing w:line="560" w:lineRule="exact"/>
        <w:jc w:val="center"/>
        <w:rPr>
          <w:rFonts w:ascii="Times New Roman" w:hAnsi="Times New Roman" w:eastAsia="方正小标宋简体" w:cs="Times New Roman"/>
          <w:sz w:val="44"/>
          <w:szCs w:val="44"/>
        </w:rPr>
      </w:pPr>
    </w:p>
    <w:p w14:paraId="6A479052">
      <w:pPr>
        <w:spacing w:line="560" w:lineRule="exact"/>
        <w:jc w:val="center"/>
        <w:rPr>
          <w:rFonts w:ascii="Times New Roman" w:hAnsi="Times New Roman" w:eastAsia="方正小标宋简体" w:cs="Times New Roman"/>
          <w:sz w:val="44"/>
          <w:szCs w:val="44"/>
        </w:rPr>
      </w:pPr>
    </w:p>
    <w:p w14:paraId="21BC2D8A">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w:t>
      </w:r>
      <w:r>
        <w:rPr>
          <w:rFonts w:ascii="Times New Roman" w:hAnsi="Times New Roman" w:eastAsia="方正小标宋简体" w:cs="Times New Roman"/>
          <w:sz w:val="44"/>
          <w:szCs w:val="44"/>
        </w:rPr>
        <w:t>2025年度第</w:t>
      </w:r>
      <w:r>
        <w:rPr>
          <w:rFonts w:hint="eastAsia" w:ascii="Times New Roman" w:hAnsi="Times New Roman" w:eastAsia="方正小标宋简体" w:cs="Times New Roman"/>
          <w:sz w:val="44"/>
          <w:szCs w:val="44"/>
        </w:rPr>
        <w:t>四十六</w:t>
      </w:r>
      <w:r>
        <w:rPr>
          <w:rFonts w:ascii="Times New Roman" w:hAnsi="Times New Roman" w:eastAsia="方正小标宋简体" w:cs="Times New Roman"/>
          <w:sz w:val="44"/>
          <w:szCs w:val="44"/>
        </w:rPr>
        <w:t>批次城镇建设用地（</w:t>
      </w:r>
      <w:r>
        <w:rPr>
          <w:rFonts w:hint="eastAsia" w:ascii="Times New Roman" w:hAnsi="Times New Roman" w:eastAsia="方正小标宋简体" w:cs="Times New Roman"/>
          <w:sz w:val="44"/>
          <w:szCs w:val="44"/>
        </w:rPr>
        <w:t>广州市花都区杨二村、</w:t>
      </w:r>
    </w:p>
    <w:p w14:paraId="15F26033">
      <w:pPr>
        <w:spacing w:line="560"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东边村城中村改造项目地块四</w:t>
      </w:r>
      <w:r>
        <w:rPr>
          <w:rFonts w:ascii="Times New Roman" w:hAnsi="Times New Roman" w:eastAsia="方正小标宋简体" w:cs="Times New Roman"/>
          <w:sz w:val="44"/>
          <w:szCs w:val="44"/>
        </w:rPr>
        <w:t>）</w:t>
      </w:r>
    </w:p>
    <w:p w14:paraId="40B2437B">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的征地补偿安置方案</w:t>
      </w:r>
    </w:p>
    <w:p w14:paraId="17DC984C">
      <w:pPr>
        <w:spacing w:line="560" w:lineRule="exact"/>
        <w:ind w:firstLine="640" w:firstLineChars="200"/>
        <w:rPr>
          <w:rFonts w:ascii="Times New Roman" w:hAnsi="Times New Roman" w:eastAsia="仿宋_GB2312" w:cs="Times New Roman"/>
          <w:sz w:val="32"/>
          <w:szCs w:val="32"/>
        </w:rPr>
      </w:pPr>
    </w:p>
    <w:p w14:paraId="11D3A359">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花城街</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花城街杨二村经济联合社，杨二村榕树经济合作社，杨二村旗星经济合作社，杨二村上头经济合作社、泗合经济合作社（共有），杨二村存心经济合作社、泗合经济合作社、祥凤经济合作社、榕树经济合作社、草弄经济合作社（共有），杨二上头经济合作社、存心经济合作社、旗星经济合作社、泗合经济合作社、榕树经济合作社（共有）；东边村上元经济合作社，东边村南一经济合作社，东边村经济联合社、上元经济合作社、松元经济合作社、西成经济合作社、南一经济合作社、昌二经济合作社、昌一经济合作社、东成经济合作社、南二经济合作社、溶和经济合作社、溶华经济合作社、三龙经济合作社（共有）属下的集体土地共</w:t>
      </w:r>
      <w:r>
        <w:rPr>
          <w:rFonts w:ascii="Times New Roman" w:hAnsi="Times New Roman" w:eastAsia="仿宋_GB2312" w:cs="Times New Roman"/>
          <w:sz w:val="32"/>
          <w:szCs w:val="32"/>
        </w:rPr>
        <w:t>25.6393</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14:paraId="7F2E42C1">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14:paraId="5941922F">
      <w:pPr>
        <w:numPr>
          <w:ilvl w:val="255"/>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花城街杨二村经济联合社，杨二村榕树经济合作社，杨二村旗星经济合作社，杨二村上头经济合作社、泗合经济合作社（共有），杨二村存心经济合作社、泗合经济合作社、祥凤经济合作社、榕树经济合作社、草弄经济合作社（共有），杨二上头经济合作社、存心经济合作社、旗星经济合作社、泗合经济合作社、榕树经济合作社（共有）；东边村上元经济合作社，东边村南一经济合作社，东边村经济联合社、上元经济合作社、松元经济合作社、西成经济合作社、南一经济合作社、昌二经济合作社、昌一经济合作社、东成经济合作社、南二经济合作社、溶和经济合作社、溶华经济合作社、三龙经济合作社（共有）</w:t>
      </w:r>
      <w:r>
        <w:rPr>
          <w:rFonts w:ascii="Times New Roman" w:hAnsi="Times New Roman" w:eastAsia="仿宋_GB2312" w:cs="Times New Roman"/>
          <w:bCs/>
          <w:sz w:val="32"/>
          <w:szCs w:val="32"/>
        </w:rPr>
        <w:t>范围内</w:t>
      </w:r>
      <w:bookmarkEnd w:id="0"/>
      <w:r>
        <w:rPr>
          <w:rFonts w:ascii="Times New Roman" w:hAnsi="Times New Roman" w:eastAsia="仿宋_GB2312" w:cs="Times New Roman"/>
          <w:bCs/>
          <w:sz w:val="32"/>
          <w:szCs w:val="32"/>
        </w:rPr>
        <w:t>。实际征收土地范围以最终批准文件为准。</w:t>
      </w:r>
    </w:p>
    <w:p w14:paraId="69135CEA">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14:paraId="26E06071">
      <w:pPr>
        <w:numPr>
          <w:ilvl w:val="255"/>
          <w:numId w:val="0"/>
        </w:numPr>
        <w:spacing w:line="560" w:lineRule="exact"/>
        <w:ind w:firstLine="640" w:firstLineChars="200"/>
        <w:rPr>
          <w:rFonts w:ascii="Times New Roman" w:hAnsi="Times New Roman" w:eastAsia="仿宋_GB2312" w:cs="Times New Roman"/>
          <w:bCs/>
          <w:sz w:val="32"/>
          <w:szCs w:val="32"/>
        </w:rPr>
      </w:pPr>
      <w:bookmarkStart w:id="1" w:name="_Hlk142467650"/>
      <w:r>
        <w:rPr>
          <w:rFonts w:hint="eastAsia" w:ascii="Times New Roman" w:hAnsi="Times New Roman" w:eastAsia="仿宋_GB2312" w:cs="Times New Roman"/>
          <w:bCs/>
          <w:sz w:val="32"/>
          <w:szCs w:val="32"/>
        </w:rPr>
        <w:t>根据《中华人民共和国土地管理法》第四十五条的规定，本次征收土地目的为在国土空间总体规划确定的城镇建设用地范围内，经省级以上人民政府批准由县级以上地方人民政府组织实施的成片开发建设需要用地的。</w:t>
      </w:r>
    </w:p>
    <w:bookmarkEnd w:id="1"/>
    <w:p w14:paraId="08E083F4">
      <w:pPr>
        <w:numPr>
          <w:ilvl w:val="255"/>
          <w:numId w:val="0"/>
        </w:numPr>
        <w:spacing w:line="55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14:paraId="2832E442">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14:paraId="3E615FFF">
      <w:pPr>
        <w:numPr>
          <w:ilvl w:val="255"/>
          <w:numId w:val="0"/>
        </w:numPr>
        <w:spacing w:line="560" w:lineRule="exact"/>
        <w:ind w:firstLine="640" w:firstLineChars="200"/>
        <w:rPr>
          <w:rFonts w:ascii="Times New Roman" w:hAnsi="Times New Roman" w:eastAsia="仿宋_GB2312" w:cs="Times New Roman"/>
          <w:sz w:val="32"/>
          <w:szCs w:val="32"/>
        </w:rPr>
      </w:pPr>
      <w:bookmarkStart w:id="2" w:name="_Hlk155255234"/>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拟征收</w:t>
      </w:r>
      <w:bookmarkStart w:id="3" w:name="_Hlk187940109"/>
      <w:r>
        <w:rPr>
          <w:rFonts w:hint="eastAsia" w:ascii="Times New Roman" w:hAnsi="Times New Roman" w:eastAsia="仿宋_GB2312" w:cs="Times New Roman"/>
          <w:sz w:val="32"/>
          <w:szCs w:val="32"/>
        </w:rPr>
        <w:t>广州市花都区花城街杨二村经济联合社，杨二村榕树经济合作社，杨二村旗星经济合作社，杨二村上头经济合作社、泗合经济合作社（共有），杨二村存心经济合作社、泗合经济合作社、祥凤经济合作社、榕树经济合作社、草弄经济合作社（共有），杨二上头经济合作社、存心经济合作社、旗星经济合作社、泗合经济合作社、榕树经济合作社（共有）</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地共</w:t>
      </w:r>
      <w:r>
        <w:rPr>
          <w:rFonts w:ascii="Times New Roman" w:hAnsi="Times New Roman" w:eastAsia="仿宋_GB2312" w:cs="Times New Roman"/>
          <w:sz w:val="32"/>
          <w:szCs w:val="32"/>
        </w:rPr>
        <w:t>17.5468公顷（263.2020亩）。</w:t>
      </w:r>
      <w:r>
        <w:rPr>
          <w:rFonts w:hint="eastAsia" w:ascii="Times New Roman" w:hAnsi="Times New Roman" w:eastAsia="仿宋_GB2312" w:cs="Times New Roman"/>
          <w:sz w:val="32"/>
          <w:szCs w:val="32"/>
        </w:rPr>
        <w:t>其中，农用地</w:t>
      </w:r>
      <w:r>
        <w:rPr>
          <w:rFonts w:ascii="Times New Roman" w:hAnsi="Times New Roman" w:eastAsia="仿宋_GB2312" w:cs="Times New Roman"/>
          <w:sz w:val="32"/>
          <w:szCs w:val="32"/>
        </w:rPr>
        <w:t>14.8459</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222.6885</w:t>
      </w:r>
      <w:r>
        <w:rPr>
          <w:rFonts w:hint="eastAsia" w:ascii="Times New Roman" w:hAnsi="Times New Roman" w:eastAsia="仿宋_GB2312" w:cs="Times New Roman"/>
          <w:sz w:val="32"/>
          <w:szCs w:val="32"/>
        </w:rPr>
        <w:t>亩），含耕地0</w:t>
      </w:r>
      <w:r>
        <w:rPr>
          <w:rFonts w:ascii="Times New Roman" w:hAnsi="Times New Roman" w:eastAsia="仿宋_GB2312" w:cs="Times New Roman"/>
          <w:sz w:val="32"/>
          <w:szCs w:val="32"/>
        </w:rPr>
        <w:t>.9537</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14.3055</w:t>
      </w:r>
      <w:r>
        <w:rPr>
          <w:rFonts w:hint="eastAsia" w:ascii="Times New Roman" w:hAnsi="Times New Roman" w:eastAsia="仿宋_GB2312" w:cs="Times New Roman"/>
          <w:sz w:val="32"/>
          <w:szCs w:val="32"/>
        </w:rPr>
        <w:t>亩）；建设用地</w:t>
      </w:r>
      <w:r>
        <w:rPr>
          <w:rFonts w:ascii="Times New Roman" w:hAnsi="Times New Roman" w:eastAsia="仿宋_GB2312" w:cs="Times New Roman"/>
          <w:sz w:val="32"/>
          <w:szCs w:val="32"/>
        </w:rPr>
        <w:t>2.7009</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40.5135</w:t>
      </w:r>
      <w:r>
        <w:rPr>
          <w:rFonts w:hint="eastAsia" w:ascii="Times New Roman" w:hAnsi="Times New Roman" w:eastAsia="仿宋_GB2312" w:cs="Times New Roman"/>
          <w:sz w:val="32"/>
          <w:szCs w:val="32"/>
        </w:rPr>
        <w:t>亩）；不涉及未利用地。</w:t>
      </w:r>
    </w:p>
    <w:p w14:paraId="4F1B6712">
      <w:pPr>
        <w:numPr>
          <w:ilvl w:val="255"/>
          <w:numId w:val="0"/>
        </w:num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拟征收广州市花都区花城街东边村上元经济合作社，东边村南一经济合作社，东边村经济联合社、上元经济合作社、松元经济合作社、西成经济合作社、南一经济合作社、昌二经济合作社、昌一经济合作社、东成经济合作社、南二经济合作社、溶和经济合作社、溶华经济合作社、三龙经济合作社（共有）集体所有土地共</w:t>
      </w:r>
      <w:r>
        <w:rPr>
          <w:rFonts w:ascii="Times New Roman" w:hAnsi="Times New Roman" w:eastAsia="仿宋_GB2312" w:cs="Times New Roman"/>
          <w:sz w:val="32"/>
          <w:szCs w:val="32"/>
        </w:rPr>
        <w:t>8.0925</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121.3875</w:t>
      </w:r>
      <w:r>
        <w:rPr>
          <w:rFonts w:hint="eastAsia" w:ascii="Times New Roman" w:hAnsi="Times New Roman" w:eastAsia="仿宋_GB2312" w:cs="Times New Roman"/>
          <w:sz w:val="32"/>
          <w:szCs w:val="32"/>
        </w:rPr>
        <w:t>亩）。其中，农用地</w:t>
      </w:r>
      <w:r>
        <w:rPr>
          <w:rFonts w:ascii="Times New Roman" w:hAnsi="Times New Roman" w:eastAsia="仿宋_GB2312" w:cs="Times New Roman"/>
          <w:sz w:val="32"/>
          <w:szCs w:val="32"/>
        </w:rPr>
        <w:t>7.8480</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117.7200</w:t>
      </w:r>
      <w:r>
        <w:rPr>
          <w:rFonts w:hint="eastAsia" w:ascii="Times New Roman" w:hAnsi="Times New Roman" w:eastAsia="仿宋_GB2312" w:cs="Times New Roman"/>
          <w:sz w:val="32"/>
          <w:szCs w:val="32"/>
        </w:rPr>
        <w:t>亩），含耕地0</w:t>
      </w:r>
      <w:r>
        <w:rPr>
          <w:rFonts w:ascii="Times New Roman" w:hAnsi="Times New Roman" w:eastAsia="仿宋_GB2312" w:cs="Times New Roman"/>
          <w:sz w:val="32"/>
          <w:szCs w:val="32"/>
        </w:rPr>
        <w:t>.0189</w:t>
      </w:r>
      <w:r>
        <w:rPr>
          <w:rFonts w:hint="eastAsia" w:ascii="Times New Roman" w:hAnsi="Times New Roman" w:eastAsia="仿宋_GB2312" w:cs="Times New Roman"/>
          <w:sz w:val="32"/>
          <w:szCs w:val="32"/>
        </w:rPr>
        <w:t>公顷（0</w:t>
      </w:r>
      <w:r>
        <w:rPr>
          <w:rFonts w:ascii="Times New Roman" w:hAnsi="Times New Roman" w:eastAsia="仿宋_GB2312" w:cs="Times New Roman"/>
          <w:sz w:val="32"/>
          <w:szCs w:val="32"/>
        </w:rPr>
        <w:t>.2835</w:t>
      </w:r>
      <w:r>
        <w:rPr>
          <w:rFonts w:hint="eastAsia" w:ascii="Times New Roman" w:hAnsi="Times New Roman" w:eastAsia="仿宋_GB2312" w:cs="Times New Roman"/>
          <w:sz w:val="32"/>
          <w:szCs w:val="32"/>
        </w:rPr>
        <w:t>亩）；建设用地0</w:t>
      </w:r>
      <w:r>
        <w:rPr>
          <w:rFonts w:ascii="Times New Roman" w:hAnsi="Times New Roman" w:eastAsia="仿宋_GB2312" w:cs="Times New Roman"/>
          <w:sz w:val="32"/>
          <w:szCs w:val="32"/>
        </w:rPr>
        <w:t>.2445</w:t>
      </w:r>
      <w:r>
        <w:rPr>
          <w:rFonts w:hint="eastAsia" w:ascii="Times New Roman" w:hAnsi="Times New Roman" w:eastAsia="仿宋_GB2312" w:cs="Times New Roman"/>
          <w:sz w:val="32"/>
          <w:szCs w:val="32"/>
        </w:rPr>
        <w:t>公顷（</w:t>
      </w:r>
      <w:r>
        <w:rPr>
          <w:rFonts w:ascii="Times New Roman" w:hAnsi="Times New Roman" w:eastAsia="仿宋_GB2312" w:cs="Times New Roman"/>
          <w:sz w:val="32"/>
          <w:szCs w:val="32"/>
        </w:rPr>
        <w:t>3.6675</w:t>
      </w:r>
      <w:r>
        <w:rPr>
          <w:rFonts w:hint="eastAsia" w:ascii="Times New Roman" w:hAnsi="Times New Roman" w:eastAsia="仿宋_GB2312" w:cs="Times New Roman"/>
          <w:sz w:val="32"/>
          <w:szCs w:val="32"/>
        </w:rPr>
        <w:t>亩），不涉及未利用地。</w:t>
      </w:r>
    </w:p>
    <w:bookmarkEnd w:id="2"/>
    <w:bookmarkEnd w:id="3"/>
    <w:p w14:paraId="5368E735">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14:paraId="7A7ABA6F">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（一）土地补偿费和安置补助费标准</w:t>
      </w:r>
    </w:p>
    <w:p w14:paraId="514F40E4">
      <w:pPr>
        <w:numPr>
          <w:ilvl w:val="255"/>
          <w:numId w:val="0"/>
        </w:numPr>
        <w:spacing w:line="560" w:lineRule="exact"/>
        <w:ind w:firstLine="640" w:firstLineChars="200"/>
        <w:rPr>
          <w:rFonts w:ascii="Times New Roman" w:hAnsi="Times New Roman" w:eastAsia="仿宋_GB2312" w:cs="Times New Roman"/>
          <w:sz w:val="32"/>
          <w:szCs w:val="32"/>
        </w:rPr>
      </w:pPr>
      <w:bookmarkStart w:id="4" w:name="_Hlk187940246"/>
      <w:r>
        <w:rPr>
          <w:rFonts w:hint="eastAsia" w:ascii="Times New Roman" w:hAnsi="Times New Roman" w:eastAsia="仿宋_GB2312" w:cs="Times New Roman"/>
          <w:sz w:val="32"/>
          <w:szCs w:val="32"/>
        </w:rPr>
        <w:t>根据《</w:t>
      </w:r>
      <w:bookmarkStart w:id="5" w:name="_Hlk161302113"/>
      <w:r>
        <w:rPr>
          <w:rFonts w:hint="eastAsia" w:ascii="Times New Roman" w:hAnsi="Times New Roman" w:eastAsia="仿宋_GB2312" w:cs="Times New Roman"/>
          <w:sz w:val="32"/>
          <w:szCs w:val="32"/>
        </w:rPr>
        <w:t>广东省自然资源厅关于广州市征收农用地区片综合地价成果的批复</w:t>
      </w:r>
      <w:bookmarkEnd w:id="5"/>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w:t>
      </w:r>
      <w:r>
        <w:rPr>
          <w:rFonts w:ascii="Times New Roman" w:hAnsi="Times New Roman" w:eastAsia="仿宋_GB2312" w:cs="Times New Roman"/>
          <w:sz w:val="32"/>
          <w:szCs w:val="32"/>
        </w:rPr>
        <w:t>120万元/公顷，安置补助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标准为120万元/公顷</w:t>
      </w:r>
      <w:r>
        <w:rPr>
          <w:rFonts w:hint="eastAsia" w:ascii="Times New Roman" w:hAnsi="Times New Roman" w:eastAsia="仿宋_GB2312" w:cs="Times New Roman"/>
          <w:sz w:val="32"/>
          <w:szCs w:val="32"/>
        </w:rPr>
        <w:t>。</w:t>
      </w:r>
      <w:bookmarkEnd w:id="4"/>
    </w:p>
    <w:p w14:paraId="68793B60">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农村村民住宅、青苗及其他地上附着物</w:t>
      </w:r>
      <w:r>
        <w:rPr>
          <w:rFonts w:ascii="Times New Roman" w:hAnsi="Times New Roman" w:eastAsia="仿宋_GB2312" w:cs="Times New Roman"/>
          <w:sz w:val="32"/>
          <w:szCs w:val="32"/>
        </w:rPr>
        <w:t>补偿</w:t>
      </w:r>
    </w:p>
    <w:p w14:paraId="25BE27F2">
      <w:pPr>
        <w:numPr>
          <w:ilvl w:val="255"/>
          <w:numId w:val="0"/>
        </w:numPr>
        <w:spacing w:line="560" w:lineRule="exact"/>
        <w:ind w:firstLine="640" w:firstLineChars="200"/>
        <w:rPr>
          <w:rFonts w:ascii="Times New Roman" w:hAnsi="Times New Roman" w:eastAsia="仿宋_GB2312" w:cs="Times New Roman"/>
          <w:sz w:val="32"/>
          <w:szCs w:val="32"/>
        </w:rPr>
      </w:pPr>
      <w:bookmarkStart w:id="6" w:name="_Hlk187940261"/>
      <w:r>
        <w:rPr>
          <w:rFonts w:hint="eastAsia" w:ascii="Times New Roman" w:hAnsi="Times New Roman" w:eastAsia="仿宋_GB2312" w:cs="Times New Roman"/>
          <w:sz w:val="32"/>
          <w:szCs w:val="32"/>
        </w:rPr>
        <w:t>农村村民住宅、</w:t>
      </w:r>
      <w:r>
        <w:rPr>
          <w:rFonts w:hint="eastAsia" w:eastAsia="仿宋_GB2312"/>
          <w:sz w:val="32"/>
        </w:rPr>
        <w:t>青苗及其他地上附着物</w:t>
      </w:r>
      <w:r>
        <w:rPr>
          <w:rFonts w:ascii="Times New Roman" w:hAnsi="Times New Roman" w:eastAsia="仿宋_GB2312" w:cs="Times New Roman"/>
          <w:sz w:val="32"/>
          <w:szCs w:val="32"/>
        </w:rPr>
        <w:t>补偿</w:t>
      </w:r>
      <w:r>
        <w:rPr>
          <w:rFonts w:hint="eastAsia" w:ascii="Times New Roman" w:hAnsi="Times New Roman" w:eastAsia="仿宋_GB2312" w:cs="Times New Roman"/>
          <w:sz w:val="32"/>
          <w:szCs w:val="32"/>
        </w:rPr>
        <w:t>按照</w:t>
      </w:r>
      <w:r>
        <w:rPr>
          <w:rFonts w:hint="eastAsia" w:eastAsia="仿宋_GB2312"/>
          <w:sz w:val="32"/>
        </w:rPr>
        <w:t>《广州市花都区人民政府办公室关于印发广州市花都区“依法征收、净地出让”城中村改造项目农民集体所有土地征收补偿安置方案的通知》（花府办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2025</w:t>
      </w:r>
      <w:r>
        <w:rPr>
          <w:rFonts w:hint="eastAsia" w:ascii="Times New Roman" w:hAnsi="Times New Roman" w:eastAsia="仿宋_GB2312" w:cs="Times New Roman"/>
          <w:sz w:val="32"/>
          <w:szCs w:val="32"/>
        </w:rPr>
        <w:t>〕6号）的规定执行。</w:t>
      </w:r>
    </w:p>
    <w:bookmarkEnd w:id="6"/>
    <w:p w14:paraId="34415D8D">
      <w:pPr>
        <w:numPr>
          <w:ilvl w:val="255"/>
          <w:numId w:val="0"/>
        </w:numPr>
        <w:spacing w:line="550" w:lineRule="exact"/>
        <w:ind w:firstLine="640" w:firstLineChars="200"/>
        <w:rPr>
          <w:rFonts w:ascii="Times New Roman" w:hAnsi="Times New Roman" w:eastAsia="黑体" w:cs="Times New Roman"/>
          <w:sz w:val="32"/>
          <w:szCs w:val="32"/>
        </w:rPr>
      </w:pPr>
      <w:bookmarkStart w:id="7" w:name="_Hlk187940290"/>
      <w:r>
        <w:rPr>
          <w:rFonts w:hint="eastAsia" w:ascii="Times New Roman" w:hAnsi="Times New Roman" w:eastAsia="黑体" w:cs="Times New Roman"/>
          <w:sz w:val="32"/>
          <w:szCs w:val="32"/>
        </w:rPr>
        <w:t>五、安置对象</w:t>
      </w:r>
    </w:p>
    <w:p w14:paraId="4CD52AF4">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7"/>
    <w:p w14:paraId="72EDD98C">
      <w:pPr>
        <w:numPr>
          <w:ilvl w:val="255"/>
          <w:numId w:val="0"/>
        </w:numPr>
        <w:spacing w:line="55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14:paraId="29BFB2EB">
      <w:pPr>
        <w:numPr>
          <w:ilvl w:val="255"/>
          <w:numId w:val="0"/>
        </w:numPr>
        <w:spacing w:line="55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14:paraId="05EA7B60">
      <w:pPr>
        <w:spacing w:line="560" w:lineRule="exact"/>
        <w:ind w:firstLine="640" w:firstLineChars="200"/>
        <w:rPr>
          <w:rFonts w:eastAsia="仿宋_GB2312"/>
          <w:sz w:val="32"/>
        </w:rPr>
      </w:pPr>
      <w:r>
        <w:rPr>
          <w:rFonts w:eastAsia="仿宋_GB2312"/>
          <w:sz w:val="32"/>
        </w:rPr>
        <w:t>（二）留用地安置。</w:t>
      </w:r>
      <w:bookmarkStart w:id="8" w:name="_Hlk187940305"/>
      <w:r>
        <w:rPr>
          <w:rFonts w:hint="eastAsia" w:ascii="Times New Roman" w:hAnsi="Times New Roman" w:eastAsia="仿宋_GB2312" w:cs="Times New Roman"/>
          <w:sz w:val="32"/>
          <w:szCs w:val="32"/>
        </w:rPr>
        <w:t>根据</w:t>
      </w:r>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规定，</w:t>
      </w:r>
      <w:r>
        <w:rPr>
          <w:rFonts w:hint="eastAsia" w:ascii="Times New Roman" w:hAnsi="Times New Roman" w:eastAsia="仿宋_GB2312" w:cs="Times New Roman"/>
          <w:sz w:val="32"/>
          <w:szCs w:val="32"/>
        </w:rPr>
        <w:t>按实际征收土地面积的1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，按照置换物业方式安排留用地。</w:t>
      </w:r>
    </w:p>
    <w:bookmarkEnd w:id="8"/>
    <w:p w14:paraId="6DB58E81">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该项目征收花城街杨二村、东边村</w:t>
      </w:r>
      <w:r>
        <w:rPr>
          <w:rFonts w:ascii="Times New Roman" w:hAnsi="Times New Roman" w:eastAsia="仿宋_GB2312" w:cs="Times New Roman"/>
          <w:sz w:val="32"/>
          <w:szCs w:val="32"/>
        </w:rPr>
        <w:t>土地面积共384.5895亩，根据《广东省人民政府办公厅转发省人力资源社会保障厅关于进一步完善我省被征地农民养老保障政策意见的通知》（粤府办〔2021〕22号）规定，核定该项目按</w:t>
      </w:r>
      <w:r>
        <w:rPr>
          <w:rFonts w:hint="eastAsia" w:ascii="Times New Roman" w:hAnsi="Times New Roman" w:eastAsia="仿宋_GB2312" w:cs="Times New Roman"/>
          <w:sz w:val="32"/>
          <w:szCs w:val="32"/>
        </w:rPr>
        <w:t>2.14万元/亩的</w:t>
      </w:r>
      <w:r>
        <w:rPr>
          <w:rFonts w:ascii="Times New Roman" w:hAnsi="Times New Roman" w:eastAsia="仿宋_GB2312" w:cs="Times New Roman"/>
          <w:sz w:val="32"/>
          <w:szCs w:val="32"/>
        </w:rPr>
        <w:t>标准一次性计提征地社保费共823.05万元，预存入区“收缴被征地农民养老保障资金过渡户”，专款用于被征地农民养老保障。</w:t>
      </w:r>
    </w:p>
    <w:p w14:paraId="1AA14713">
      <w:pPr>
        <w:numPr>
          <w:ilvl w:val="255"/>
          <w:numId w:val="0"/>
        </w:numPr>
        <w:spacing w:line="520" w:lineRule="exact"/>
        <w:rPr>
          <w:rFonts w:ascii="Times New Roman" w:hAnsi="Times New Roman" w:eastAsia="仿宋_GB2312" w:cs="Times New Roman"/>
          <w:bCs/>
          <w:sz w:val="30"/>
          <w:szCs w:val="30"/>
        </w:rPr>
      </w:pPr>
    </w:p>
    <w:p w14:paraId="48498EB6">
      <w:pPr>
        <w:spacing w:line="520" w:lineRule="exact"/>
        <w:jc w:val="right"/>
        <w:rPr>
          <w:rFonts w:ascii="仿宋_GB2312" w:hAnsi="仿宋_GB2312" w:eastAsia="仿宋_GB2312" w:cs="仿宋_GB2312"/>
          <w:sz w:val="32"/>
          <w:szCs w:val="32"/>
        </w:rPr>
      </w:pPr>
    </w:p>
    <w:p w14:paraId="657957F3">
      <w:pPr>
        <w:spacing w:line="560" w:lineRule="exact"/>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14:paraId="7B2FE389">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2026年5月</w:t>
      </w:r>
      <w:r>
        <w:rPr>
          <w:rFonts w:hint="eastAsia" w:ascii="Times New Roman" w:hAnsi="Times New Roman" w:eastAsia="仿宋_GB2312" w:cs="Times New Roman"/>
          <w:sz w:val="32"/>
          <w:szCs w:val="32"/>
          <w:lang w:val="en-US" w:eastAsia="zh-CN"/>
        </w:rPr>
        <w:t>15</w:t>
      </w:r>
      <w:bookmarkStart w:id="9" w:name="_GoBack"/>
      <w:bookmarkEnd w:id="9"/>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14:paraId="7803C4B4">
        <w:pPr>
          <w:pStyle w:val="4"/>
          <w:jc w:val="cente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346DA"/>
    <w:rsid w:val="00036749"/>
    <w:rsid w:val="00041071"/>
    <w:rsid w:val="00045161"/>
    <w:rsid w:val="000555EA"/>
    <w:rsid w:val="00072859"/>
    <w:rsid w:val="0008218E"/>
    <w:rsid w:val="00082361"/>
    <w:rsid w:val="00096C64"/>
    <w:rsid w:val="000A2C16"/>
    <w:rsid w:val="000B145B"/>
    <w:rsid w:val="000B7092"/>
    <w:rsid w:val="000D4B79"/>
    <w:rsid w:val="000E2B61"/>
    <w:rsid w:val="000E5884"/>
    <w:rsid w:val="000F37E0"/>
    <w:rsid w:val="000F4B96"/>
    <w:rsid w:val="00102C0F"/>
    <w:rsid w:val="001043BD"/>
    <w:rsid w:val="0012154A"/>
    <w:rsid w:val="00122439"/>
    <w:rsid w:val="00126ED4"/>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5670"/>
    <w:rsid w:val="001E387E"/>
    <w:rsid w:val="001E6505"/>
    <w:rsid w:val="002231C2"/>
    <w:rsid w:val="002269C3"/>
    <w:rsid w:val="00234876"/>
    <w:rsid w:val="0023655D"/>
    <w:rsid w:val="002708C9"/>
    <w:rsid w:val="00272022"/>
    <w:rsid w:val="00275650"/>
    <w:rsid w:val="002B1617"/>
    <w:rsid w:val="002B1663"/>
    <w:rsid w:val="002D43C2"/>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86B32"/>
    <w:rsid w:val="00394B72"/>
    <w:rsid w:val="003A6945"/>
    <w:rsid w:val="003A7453"/>
    <w:rsid w:val="003A7E44"/>
    <w:rsid w:val="003B5108"/>
    <w:rsid w:val="003C5634"/>
    <w:rsid w:val="003F1999"/>
    <w:rsid w:val="003F5777"/>
    <w:rsid w:val="0040324F"/>
    <w:rsid w:val="00404868"/>
    <w:rsid w:val="00416964"/>
    <w:rsid w:val="00416C7C"/>
    <w:rsid w:val="00450798"/>
    <w:rsid w:val="0047585C"/>
    <w:rsid w:val="0048599C"/>
    <w:rsid w:val="00491728"/>
    <w:rsid w:val="004969ED"/>
    <w:rsid w:val="004A1605"/>
    <w:rsid w:val="004B531D"/>
    <w:rsid w:val="004C37CF"/>
    <w:rsid w:val="004C7698"/>
    <w:rsid w:val="004D6C66"/>
    <w:rsid w:val="004E536B"/>
    <w:rsid w:val="004E6319"/>
    <w:rsid w:val="00523849"/>
    <w:rsid w:val="00531C37"/>
    <w:rsid w:val="00534E1B"/>
    <w:rsid w:val="00543075"/>
    <w:rsid w:val="0055511B"/>
    <w:rsid w:val="0056539F"/>
    <w:rsid w:val="00566A08"/>
    <w:rsid w:val="00577200"/>
    <w:rsid w:val="00580D0D"/>
    <w:rsid w:val="00581B80"/>
    <w:rsid w:val="00584267"/>
    <w:rsid w:val="00590E7C"/>
    <w:rsid w:val="00596ED2"/>
    <w:rsid w:val="005C711C"/>
    <w:rsid w:val="005C7F9F"/>
    <w:rsid w:val="005D11DF"/>
    <w:rsid w:val="005D7F5E"/>
    <w:rsid w:val="00604E24"/>
    <w:rsid w:val="0062628C"/>
    <w:rsid w:val="00627569"/>
    <w:rsid w:val="00630665"/>
    <w:rsid w:val="0063158C"/>
    <w:rsid w:val="00642508"/>
    <w:rsid w:val="0065057C"/>
    <w:rsid w:val="00653DA6"/>
    <w:rsid w:val="00654482"/>
    <w:rsid w:val="00660736"/>
    <w:rsid w:val="006759DD"/>
    <w:rsid w:val="00680E37"/>
    <w:rsid w:val="00685574"/>
    <w:rsid w:val="006958E6"/>
    <w:rsid w:val="006A32A0"/>
    <w:rsid w:val="006A79FF"/>
    <w:rsid w:val="006B0B03"/>
    <w:rsid w:val="006B0B55"/>
    <w:rsid w:val="006B2354"/>
    <w:rsid w:val="006C7CB1"/>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72B63"/>
    <w:rsid w:val="00796CA4"/>
    <w:rsid w:val="007A04C0"/>
    <w:rsid w:val="007B44AA"/>
    <w:rsid w:val="007B5785"/>
    <w:rsid w:val="007C09D4"/>
    <w:rsid w:val="007C68CD"/>
    <w:rsid w:val="007F7339"/>
    <w:rsid w:val="00802012"/>
    <w:rsid w:val="0082338F"/>
    <w:rsid w:val="008276B2"/>
    <w:rsid w:val="00831673"/>
    <w:rsid w:val="0084102A"/>
    <w:rsid w:val="00890FF9"/>
    <w:rsid w:val="00895E44"/>
    <w:rsid w:val="008A2C49"/>
    <w:rsid w:val="008B4AEF"/>
    <w:rsid w:val="008D31FF"/>
    <w:rsid w:val="008D5E31"/>
    <w:rsid w:val="008E1164"/>
    <w:rsid w:val="009239CE"/>
    <w:rsid w:val="009315CF"/>
    <w:rsid w:val="00951C52"/>
    <w:rsid w:val="00953100"/>
    <w:rsid w:val="0095360A"/>
    <w:rsid w:val="009536EC"/>
    <w:rsid w:val="009540AA"/>
    <w:rsid w:val="00954428"/>
    <w:rsid w:val="00961FDE"/>
    <w:rsid w:val="00964B9B"/>
    <w:rsid w:val="00977C58"/>
    <w:rsid w:val="009800A8"/>
    <w:rsid w:val="00992E49"/>
    <w:rsid w:val="009939C4"/>
    <w:rsid w:val="009A2AFD"/>
    <w:rsid w:val="009A7A41"/>
    <w:rsid w:val="009B1324"/>
    <w:rsid w:val="009C2235"/>
    <w:rsid w:val="009C3122"/>
    <w:rsid w:val="00A21DD0"/>
    <w:rsid w:val="00A628BD"/>
    <w:rsid w:val="00A71FFB"/>
    <w:rsid w:val="00A75F31"/>
    <w:rsid w:val="00A76840"/>
    <w:rsid w:val="00A80273"/>
    <w:rsid w:val="00A85A8C"/>
    <w:rsid w:val="00A905AC"/>
    <w:rsid w:val="00A91E0A"/>
    <w:rsid w:val="00A93EB2"/>
    <w:rsid w:val="00A959B7"/>
    <w:rsid w:val="00AA7546"/>
    <w:rsid w:val="00AB1F54"/>
    <w:rsid w:val="00AB6737"/>
    <w:rsid w:val="00AD53AF"/>
    <w:rsid w:val="00AD6E00"/>
    <w:rsid w:val="00AE2AB9"/>
    <w:rsid w:val="00AF1EC7"/>
    <w:rsid w:val="00AF3BB1"/>
    <w:rsid w:val="00B05D16"/>
    <w:rsid w:val="00B55392"/>
    <w:rsid w:val="00B55BAF"/>
    <w:rsid w:val="00B56ED8"/>
    <w:rsid w:val="00B64AE2"/>
    <w:rsid w:val="00B70CD1"/>
    <w:rsid w:val="00B72FDD"/>
    <w:rsid w:val="00B81511"/>
    <w:rsid w:val="00B84848"/>
    <w:rsid w:val="00BA56A9"/>
    <w:rsid w:val="00BA67C7"/>
    <w:rsid w:val="00BB433F"/>
    <w:rsid w:val="00BE701C"/>
    <w:rsid w:val="00C04337"/>
    <w:rsid w:val="00C05B92"/>
    <w:rsid w:val="00C05E90"/>
    <w:rsid w:val="00C30E3B"/>
    <w:rsid w:val="00C43131"/>
    <w:rsid w:val="00C4429A"/>
    <w:rsid w:val="00C53D10"/>
    <w:rsid w:val="00C555BB"/>
    <w:rsid w:val="00C6512F"/>
    <w:rsid w:val="00C84D30"/>
    <w:rsid w:val="00CB07E2"/>
    <w:rsid w:val="00CB39EF"/>
    <w:rsid w:val="00CB6605"/>
    <w:rsid w:val="00CD4989"/>
    <w:rsid w:val="00CD4AD1"/>
    <w:rsid w:val="00CE7DEF"/>
    <w:rsid w:val="00CF26B5"/>
    <w:rsid w:val="00CF34CC"/>
    <w:rsid w:val="00D005E9"/>
    <w:rsid w:val="00D2046A"/>
    <w:rsid w:val="00D20C0C"/>
    <w:rsid w:val="00D265B2"/>
    <w:rsid w:val="00D26F24"/>
    <w:rsid w:val="00D34160"/>
    <w:rsid w:val="00D35400"/>
    <w:rsid w:val="00D35430"/>
    <w:rsid w:val="00D400FC"/>
    <w:rsid w:val="00D425AC"/>
    <w:rsid w:val="00D60569"/>
    <w:rsid w:val="00D67C50"/>
    <w:rsid w:val="00D7686F"/>
    <w:rsid w:val="00D77C52"/>
    <w:rsid w:val="00D92D57"/>
    <w:rsid w:val="00DA702D"/>
    <w:rsid w:val="00DB6415"/>
    <w:rsid w:val="00DC2E61"/>
    <w:rsid w:val="00DD02D2"/>
    <w:rsid w:val="00DD35B4"/>
    <w:rsid w:val="00DD6AFD"/>
    <w:rsid w:val="00DF0871"/>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E5FDB"/>
    <w:rsid w:val="00EE681C"/>
    <w:rsid w:val="00EE706E"/>
    <w:rsid w:val="00EF7FC3"/>
    <w:rsid w:val="00F06F9F"/>
    <w:rsid w:val="00F20E42"/>
    <w:rsid w:val="00F25471"/>
    <w:rsid w:val="00F357A7"/>
    <w:rsid w:val="00F37D74"/>
    <w:rsid w:val="00F50540"/>
    <w:rsid w:val="00F545F5"/>
    <w:rsid w:val="00F6299A"/>
    <w:rsid w:val="00F66239"/>
    <w:rsid w:val="00F7399C"/>
    <w:rsid w:val="00F87166"/>
    <w:rsid w:val="00F91515"/>
    <w:rsid w:val="00FA3F2B"/>
    <w:rsid w:val="00FA483C"/>
    <w:rsid w:val="00FC4F3E"/>
    <w:rsid w:val="00FC530B"/>
    <w:rsid w:val="00FD593F"/>
    <w:rsid w:val="00FD6583"/>
    <w:rsid w:val="00FD7E9C"/>
    <w:rsid w:val="00FE5F71"/>
    <w:rsid w:val="00FF0280"/>
    <w:rsid w:val="19336527"/>
    <w:rsid w:val="1DB00ED4"/>
    <w:rsid w:val="22694BD9"/>
    <w:rsid w:val="273C6BB3"/>
    <w:rsid w:val="34BA79CA"/>
    <w:rsid w:val="37A56BB4"/>
    <w:rsid w:val="415E793A"/>
    <w:rsid w:val="4375005E"/>
    <w:rsid w:val="46A33C83"/>
    <w:rsid w:val="46F00C05"/>
    <w:rsid w:val="4823227C"/>
    <w:rsid w:val="485566E5"/>
    <w:rsid w:val="5244238B"/>
    <w:rsid w:val="589D3674"/>
    <w:rsid w:val="5FDC55D3"/>
    <w:rsid w:val="6E8742F4"/>
    <w:rsid w:val="74BB5FFB"/>
    <w:rsid w:val="76FE05CD"/>
    <w:rsid w:val="785D07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7376-4661-4C06-81ED-0E5BE3D9F8E0}">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2113</Words>
  <Characters>180</Characters>
  <Lines>1</Lines>
  <Paragraphs>4</Paragraphs>
  <TotalTime>72</TotalTime>
  <ScaleCrop>false</ScaleCrop>
  <LinksUpToDate>false</LinksUpToDate>
  <CharactersWithSpaces>2289</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2025-04-10T01:16:00Z</dcterms:created>
  <dc:creator>Administrator</dc:creator>
  <cp:lastModifiedBy>Administrator</cp:lastModifiedBy>
  <cp:lastPrinted>2025-02-27T03:36:00Z</cp:lastPrinted>
  <dcterms:modified xsi:type="dcterms:W3CDTF">2026-05-18T06:57:43Z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C2CFDA2A3C9A497DA137C2368319EB16_12</vt:lpwstr>
  </property>
  <property fmtid="{D5CDD505-2E9C-101B-9397-08002B2CF9AE}" pid="4" name="KSOTemplateDocerSaveRecord">
    <vt:lpwstr>eyJoZGlkIjoiYjdmOGI4OGIxNGUyZDU3M2JjY2Y5ZGRjYmFiNzc3ZTgifQ==</vt:lpwstr>
  </property>
</Properties>
</file>