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auto"/>
          <w:sz w:val="44"/>
          <w:szCs w:val="44"/>
        </w:rPr>
        <w:t>关</w:t>
      </w:r>
      <w:r>
        <w:rPr>
          <w:rFonts w:hint="eastAsia" w:ascii="方正小标宋简体" w:hAnsi="仿宋" w:eastAsia="方正小标宋简体" w:cs="宋体"/>
          <w:bCs/>
          <w:color w:val="auto"/>
          <w:sz w:val="44"/>
          <w:szCs w:val="44"/>
        </w:rPr>
        <w:t>于</w:t>
      </w:r>
      <w:r>
        <w:rPr>
          <w:rFonts w:hint="eastAsia" w:ascii="方正小标宋简体" w:hAnsi="仿宋" w:eastAsia="方正小标宋简体" w:cs="宋体"/>
          <w:bCs/>
          <w:color w:val="auto"/>
          <w:sz w:val="44"/>
          <w:szCs w:val="44"/>
        </w:rPr>
        <w:t>广州市花都区2026年度第二批次城镇建设用地（新和村经济发展留用地项目〔联邦〕）</w:t>
      </w:r>
      <w:r>
        <w:rPr>
          <w:rFonts w:hint="eastAsia" w:ascii="方正小标宋简体" w:hAnsi="方正小标宋简体" w:eastAsia="方正小标宋简体" w:cs="方正小标宋简体"/>
          <w:color w:val="auto"/>
          <w:sz w:val="44"/>
          <w:szCs w:val="44"/>
          <w:lang w:eastAsia="zh-CN"/>
        </w:rPr>
        <w:t>被征地农民养老保障方案</w:t>
      </w:r>
    </w:p>
    <w:p w14:paraId="499895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540" w:lineRule="exact"/>
        <w:ind w:right="0" w:rightChars="0"/>
        <w:jc w:val="left"/>
        <w:textAlignment w:val="auto"/>
        <w:outlineLvl w:val="9"/>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                  </w:t>
      </w: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和</w:t>
      </w:r>
      <w:r>
        <w:rPr>
          <w:rFonts w:hint="eastAsia" w:ascii="仿宋_GB2312" w:hAnsi="仿宋_GB2312" w:cs="仿宋_GB2312"/>
          <w:color w:val="auto"/>
          <w:kern w:val="0"/>
          <w:shd w:val="clear" w:color="auto" w:fill="FFFFFF"/>
          <w:lang w:bidi="ar"/>
        </w:rPr>
        <w:t>《广州市人民政府办公厅转发关于进一步完善我省被征地农民养老保障政策意见的通知》（穗府办规〔2022〕3号）等</w:t>
      </w:r>
      <w:r>
        <w:rPr>
          <w:rFonts w:hint="eastAsia" w:ascii="仿宋_GB2312" w:hAnsi="仿宋_GB2312" w:cs="仿宋_GB2312"/>
          <w:color w:val="auto"/>
          <w:kern w:val="0"/>
          <w:shd w:val="clear" w:color="auto" w:fill="FFFFFF"/>
          <w:lang w:bidi="ar"/>
        </w:rPr>
        <w:t>有关规定，拟定</w:t>
      </w:r>
      <w:r>
        <w:rPr>
          <w:rFonts w:hint="eastAsia" w:ascii="仿宋_GB2312" w:hAnsi="仿宋_GB2312" w:cs="仿宋_GB2312"/>
          <w:color w:val="auto"/>
          <w:kern w:val="0"/>
          <w:shd w:val="clear" w:color="auto" w:fill="FFFFFF"/>
          <w:lang w:bidi="ar"/>
        </w:rPr>
        <w:t>广州市花都区2026年度第二批次城镇建设用地（新和村经济发展留用地项目〔联邦〕）</w:t>
      </w:r>
      <w:r>
        <w:rPr>
          <w:rFonts w:hint="eastAsia" w:ascii="仿宋_GB2312" w:hAnsi="仿宋_GB2312" w:eastAsia="仿宋_GB2312" w:cs="仿宋_GB2312"/>
          <w:color w:val="auto"/>
          <w:lang w:val="en-US" w:eastAsia="zh-CN"/>
        </w:rPr>
        <w:t>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kern w:val="0"/>
          <w:shd w:val="clear" w:color="auto" w:fill="FFFFFF"/>
          <w:lang w:bidi="ar"/>
        </w:rPr>
        <w:t>广州市花都区2026年度第二批次城镇建设用地（新和村经济发展留用地项目〔联邦〕）</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val="en-US" w:eastAsia="zh-CN"/>
        </w:rPr>
        <w:t>花山镇新和村、平西村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w:t>
      </w:r>
      <w:r>
        <w:rPr>
          <w:rFonts w:hint="eastAsia" w:ascii="仿宋_GB2312" w:hAnsi="仿宋_GB2312" w:cs="仿宋_GB2312"/>
          <w:i w:val="0"/>
          <w:caps w:val="0"/>
          <w:color w:val="auto"/>
          <w:spacing w:val="0"/>
          <w:kern w:val="0"/>
          <w:sz w:val="32"/>
          <w:szCs w:val="32"/>
          <w:shd w:val="clear" w:color="auto" w:fill="FFFFFF"/>
          <w:lang w:val="en-US" w:eastAsia="zh-CN" w:bidi="ar"/>
        </w:rPr>
        <w:t>15.2520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kern w:val="2"/>
          <w:shd w:val="clear" w:color="auto" w:fill="auto"/>
          <w:lang w:bidi="ar-SA"/>
        </w:rPr>
        <w:t>0.8160亩</w:t>
      </w:r>
      <w:r>
        <w:rPr>
          <w:rFonts w:hint="eastAsia" w:ascii="仿宋_GB2312" w:hAnsi="仿宋_GB2312" w:cs="仿宋_GB2312"/>
          <w:color w:val="auto"/>
          <w:kern w:val="2"/>
          <w:shd w:val="clear" w:color="auto" w:fill="auto"/>
          <w:lang w:bidi="ar-SA"/>
        </w:rPr>
        <w:t>属于农村集体经济组织留用地</w:t>
      </w:r>
      <w:r>
        <w:rPr>
          <w:rFonts w:hint="eastAsia" w:ascii="仿宋_GB2312" w:hAnsi="仿宋_GB2312" w:cs="仿宋_GB2312"/>
          <w:color w:val="auto"/>
        </w:rPr>
        <w:t>，</w:t>
      </w:r>
      <w:r>
        <w:rPr>
          <w:rFonts w:hint="eastAsia" w:ascii="仿宋_GB2312" w:hAnsi="仿宋_GB2312" w:cs="仿宋_GB2312"/>
          <w:color w:val="auto"/>
        </w:rPr>
        <w:t>征地双方</w:t>
      </w:r>
      <w:r>
        <w:rPr>
          <w:rFonts w:hint="eastAsia" w:ascii="仿宋_GB2312" w:hAnsi="仿宋_GB2312" w:cs="仿宋_GB2312"/>
          <w:color w:val="auto"/>
          <w:kern w:val="2"/>
          <w:highlight w:val="none"/>
          <w:shd w:val="clear" w:color="auto" w:fill="auto"/>
          <w:lang w:bidi="ar-SA"/>
        </w:rPr>
        <w:t>目前</w:t>
      </w:r>
      <w:r>
        <w:rPr>
          <w:rFonts w:hint="eastAsia" w:ascii="仿宋_GB2312" w:hAnsi="仿宋_GB2312" w:cs="仿宋_GB2312"/>
          <w:color w:val="auto"/>
          <w:highlight w:val="none"/>
        </w:rPr>
        <w:t>尚未签订征地补偿安置协议</w:t>
      </w:r>
      <w:r>
        <w:rPr>
          <w:rFonts w:hint="eastAsia" w:ascii="仿宋_GB2312" w:hAnsi="仿宋_GB2312" w:cs="仿宋_GB2312"/>
          <w:color w:val="auto"/>
          <w:highlight w:val="none"/>
        </w:rPr>
        <w:t>。</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highlight w:val="none"/>
        </w:rPr>
        <w:t>0.8160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rPr>
        <w:t>30.91</w:t>
      </w:r>
      <w:r>
        <w:rPr>
          <w:rFonts w:hint="eastAsia" w:ascii="仿宋_GB2312" w:hAnsi="仿宋_GB2312" w:cs="仿宋_GB2312"/>
          <w:color w:val="auto"/>
          <w:kern w:val="2"/>
          <w:shd w:val="clear" w:color="auto" w:fill="auto"/>
          <w:lang w:bidi="ar-SA"/>
        </w:rPr>
        <w:t>万元</w:t>
      </w:r>
      <w:r>
        <w:rPr>
          <w:rFonts w:hint="eastAsia" w:ascii="仿宋_GB2312" w:hAnsi="仿宋_GB2312" w:cs="仿宋_GB2312"/>
          <w:color w:val="auto"/>
          <w:kern w:val="2"/>
          <w:shd w:val="clear" w:color="auto" w:fill="auto"/>
          <w:lang w:bidi="ar-SA"/>
        </w:rPr>
        <w:t>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color w:val="auto"/>
          <w:lang w:val="en-US" w:eastAsia="zh-CN"/>
        </w:rPr>
      </w:pPr>
      <w:r>
        <w:rPr>
          <w:rFonts w:hint="eastAsia" w:ascii="仿宋_GB2312" w:hAnsi="仿宋_GB2312" w:cs="仿宋_GB2312"/>
          <w:color w:val="auto"/>
          <w:lang w:eastAsia="zh-CN"/>
        </w:rPr>
        <w:t>三、征</w:t>
      </w:r>
      <w:r>
        <w:rPr>
          <w:rFonts w:hint="eastAsia" w:ascii="仿宋_GB2312" w:hAnsi="仿宋_GB2312" w:eastAsia="仿宋_GB2312" w:cs="仿宋_GB2312"/>
          <w:color w:val="auto"/>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color w:val="auto"/>
          <w:kern w:val="0"/>
          <w:shd w:val="clear" w:color="auto" w:fill="FFFFFF"/>
          <w:lang w:val="en-US" w:eastAsia="zh-CN" w:bidi="ar"/>
        </w:rPr>
        <w:t xml:space="preserve"> </w:t>
      </w:r>
      <w:r>
        <w:rPr>
          <w:rFonts w:hint="eastAsia" w:ascii="仿宋_GB2312" w:hAnsi="仿宋_GB2312" w:eastAsia="黑体" w:cs="仿宋_GB2312"/>
          <w:color w:val="auto"/>
          <w:lang w:val="en-US" w:eastAsia="zh-CN"/>
        </w:rPr>
        <w:t xml:space="preserve">   </w:t>
      </w:r>
    </w:p>
    <w:p w14:paraId="34D3D7F1">
      <w:pPr>
        <w:numPr>
          <w:ilvl w:val="0"/>
          <w:numId w:val="0"/>
        </w:numPr>
        <w:ind w:firstLine="640" w:firstLineChars="200"/>
        <w:rPr>
          <w:rFonts w:hint="eastAsia" w:ascii="仿宋_GB2312" w:hAnsi="仿宋_GB2312" w:eastAsia="仿宋_GB2312" w:cs="仿宋_GB2312"/>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。一是</w:t>
      </w:r>
      <w:r>
        <w:rPr>
          <w:rFonts w:ascii="仿宋_GB2312" w:hAnsi="仿宋_GB2312" w:eastAsia="仿宋_GB2312" w:cs="仿宋_GB2312"/>
          <w:b w:val="0"/>
          <w:bCs w:val="0"/>
          <w:color w:val="auto"/>
        </w:rPr>
        <w:t>征地社保</w:t>
      </w:r>
      <w:r>
        <w:rPr>
          <w:rFonts w:ascii="仿宋_GB2312" w:hAnsi="仿宋_GB2312" w:cs="仿宋_GB2312"/>
          <w:b w:val="0"/>
          <w:bCs w:val="0"/>
          <w:color w:val="auto"/>
        </w:rPr>
        <w:t>费</w:t>
      </w:r>
      <w:r>
        <w:rPr>
          <w:rFonts w:hint="eastAsia" w:ascii="仿宋_GB2312" w:hAnsi="仿宋_GB2312" w:cs="仿宋_GB2312"/>
          <w:b w:val="0"/>
          <w:bCs w:val="0"/>
          <w:color w:val="auto"/>
        </w:rPr>
        <w:t>专款用于被征地农民</w:t>
      </w:r>
      <w:r>
        <w:rPr>
          <w:rFonts w:hint="eastAsia" w:ascii="仿宋_GB2312" w:hAnsi="仿宋_GB2312" w:cs="仿宋_GB2312"/>
          <w:b w:val="0"/>
          <w:bCs w:val="0"/>
          <w:color w:val="auto"/>
          <w:lang w:val="en-US" w:eastAsia="zh-CN"/>
        </w:rPr>
        <w:t>的基本</w:t>
      </w:r>
      <w:r>
        <w:rPr>
          <w:rFonts w:hint="eastAsia" w:ascii="仿宋_GB2312" w:hAnsi="仿宋_GB2312" w:cs="仿宋_GB2312"/>
          <w:b w:val="0"/>
          <w:bCs w:val="0"/>
          <w:color w:val="auto"/>
        </w:rPr>
        <w:t>养老保险</w:t>
      </w:r>
      <w:r>
        <w:rPr>
          <w:rFonts w:hint="eastAsia" w:ascii="仿宋_GB2312" w:hAnsi="仿宋_GB2312" w:cs="仿宋_GB2312"/>
          <w:b w:val="0"/>
          <w:bCs w:val="0"/>
          <w:color w:val="auto"/>
          <w:lang w:val="en-US" w:eastAsia="zh-CN"/>
        </w:rPr>
        <w:t>补贴。二是落实</w:t>
      </w:r>
      <w:r>
        <w:rPr>
          <w:rFonts w:hint="eastAsia" w:ascii="仿宋_GB2312" w:hAnsi="仿宋_GB2312" w:cs="仿宋_GB2312"/>
          <w:b w:val="0"/>
          <w:bCs/>
          <w:color w:val="auto"/>
          <w:lang w:val="en-US" w:eastAsia="zh-CN"/>
        </w:rPr>
        <w:t>“</w:t>
      </w:r>
      <w:r>
        <w:rPr>
          <w:rFonts w:ascii="仿宋_GB2312" w:hAnsi="仿宋_GB2312" w:eastAsia="仿宋_GB2312" w:cs="仿宋_GB2312"/>
          <w:b w:val="0"/>
          <w:bCs/>
          <w:color w:val="auto"/>
        </w:rPr>
        <w:t>征地社保费与征地安置补偿费同期拨付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rPr>
          <w:color w:val="auto"/>
        </w:rP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bookmarkStart w:id="0" w:name="_GoBack"/>
      <w:bookmarkEnd w:id="0"/>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征地土地</w:t>
      </w:r>
      <w:r>
        <w:rPr>
          <w:rFonts w:hint="eastAsia" w:ascii="仿宋_GB2312" w:hAnsi="仿宋_GB2312" w:eastAsia="仿宋_GB2312" w:cs="仿宋_GB2312"/>
          <w:bCs w:val="0"/>
          <w:color w:val="auto"/>
          <w:kern w:val="2"/>
          <w:shd w:val="clear" w:color="auto" w:fill="auto"/>
          <w:lang w:bidi="ar-SA"/>
        </w:rPr>
        <w:t>和养老保障情况表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color w:val="auto"/>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3470883A">
      <w:pPr>
        <w:pStyle w:val="2"/>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p>
    <w:p w14:paraId="2F5CDF5F">
      <w:pPr>
        <w:rPr>
          <w:rFonts w:hint="eastAsia"/>
          <w:color w:val="auto"/>
          <w:lang w:val="en-US" w:eastAsia="zh-CN"/>
        </w:rPr>
      </w:pPr>
    </w:p>
    <w:p w14:paraId="50062A6E">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color w:val="auto"/>
          <w:sz w:val="32"/>
          <w:szCs w:val="32"/>
        </w:rPr>
      </w:pPr>
    </w:p>
    <w:p w14:paraId="40B07DDD">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黑体" w:hAnsi="黑体" w:eastAsia="黑体" w:cs="黑体"/>
          <w:b w:val="0"/>
          <w:bCs w:val="0"/>
          <w:color w:val="auto"/>
          <w:sz w:val="32"/>
          <w:szCs w:val="32"/>
        </w:rPr>
      </w:pPr>
    </w:p>
    <w:p w14:paraId="534E2BEA">
      <w:pPr>
        <w:rPr>
          <w:rFonts w:hint="eastAsia" w:ascii="黑体" w:hAnsi="黑体" w:eastAsia="黑体" w:cs="黑体"/>
          <w:color w:val="auto"/>
        </w:rPr>
      </w:pPr>
    </w:p>
    <w:p w14:paraId="345AE5B8">
      <w:pPr>
        <w:rPr>
          <w:rFonts w:hint="eastAsia" w:ascii="黑体" w:hAnsi="黑体" w:eastAsia="黑体" w:cs="黑体"/>
          <w:color w:val="auto"/>
        </w:rPr>
      </w:pPr>
    </w:p>
    <w:p w14:paraId="31FB3E74">
      <w:pPr>
        <w:rPr>
          <w:rFonts w:hint="eastAsia" w:ascii="黑体" w:hAnsi="黑体" w:eastAsia="黑体" w:cs="黑体"/>
          <w:color w:val="auto"/>
        </w:rPr>
      </w:pPr>
    </w:p>
    <w:p w14:paraId="64B84DE8">
      <w:pPr>
        <w:rPr>
          <w:rFonts w:hint="eastAsia" w:ascii="黑体" w:hAnsi="黑体" w:eastAsia="黑体" w:cs="黑体"/>
          <w:color w:val="auto"/>
        </w:rPr>
      </w:pPr>
    </w:p>
    <w:p w14:paraId="2EC22838">
      <w:pPr>
        <w:rPr>
          <w:rFonts w:hint="eastAsia" w:ascii="黑体" w:hAnsi="黑体" w:eastAsia="黑体" w:cs="黑体"/>
          <w:color w:val="auto"/>
        </w:rPr>
      </w:pPr>
    </w:p>
    <w:p w14:paraId="268C1050">
      <w:pPr>
        <w:rPr>
          <w:rFonts w:hint="eastAsia" w:ascii="黑体" w:hAnsi="黑体" w:eastAsia="黑体" w:cs="黑体"/>
          <w:color w:val="auto"/>
        </w:rPr>
      </w:pPr>
    </w:p>
    <w:p w14:paraId="75445572">
      <w:pPr>
        <w:rPr>
          <w:rFonts w:hint="eastAsia" w:ascii="黑体" w:hAnsi="黑体" w:eastAsia="黑体" w:cs="黑体"/>
          <w:color w:val="auto"/>
        </w:rPr>
      </w:pPr>
    </w:p>
    <w:p w14:paraId="1EC0E05F">
      <w:pPr>
        <w:pStyle w:val="2"/>
        <w:rPr>
          <w:rFonts w:hint="eastAsia" w:ascii="黑体" w:hAnsi="黑体" w:eastAsia="黑体" w:cs="黑体"/>
          <w:color w:val="auto"/>
        </w:rPr>
      </w:pPr>
    </w:p>
    <w:p w14:paraId="57138991">
      <w:pPr>
        <w:pStyle w:val="2"/>
        <w:rPr>
          <w:rFonts w:hint="eastAsia" w:ascii="黑体" w:hAnsi="黑体" w:eastAsia="黑体" w:cs="黑体"/>
          <w:color w:val="auto"/>
        </w:rPr>
      </w:pPr>
    </w:p>
    <w:p w14:paraId="44D46FA4">
      <w:pPr>
        <w:pStyle w:val="2"/>
        <w:rPr>
          <w:rFonts w:hint="eastAsia" w:ascii="黑体" w:hAnsi="黑体" w:eastAsia="黑体" w:cs="黑体"/>
          <w:color w:val="auto"/>
        </w:rPr>
      </w:pPr>
    </w:p>
    <w:p w14:paraId="574BC383">
      <w:pPr>
        <w:rPr>
          <w:rFonts w:hint="default" w:ascii="黑体" w:hAnsi="黑体" w:eastAsia="黑体" w:cs="黑体"/>
          <w:color w:val="auto"/>
          <w:lang w:val="en-US" w:eastAsia="zh-CN"/>
        </w:rPr>
      </w:pPr>
      <w:r>
        <w:rPr>
          <w:rFonts w:hint="eastAsia" w:ascii="黑体" w:hAnsi="黑体" w:eastAsia="黑体" w:cs="黑体"/>
          <w:color w:val="auto"/>
        </w:rPr>
        <w:t>附</w:t>
      </w:r>
      <w:r>
        <w:rPr>
          <w:rFonts w:hint="eastAsia" w:ascii="黑体" w:hAnsi="黑体" w:eastAsia="黑体" w:cs="黑体"/>
          <w:color w:val="auto"/>
          <w:lang w:eastAsia="zh-CN"/>
        </w:rPr>
        <w:t>件</w:t>
      </w:r>
    </w:p>
    <w:p w14:paraId="5B4878F6">
      <w:pPr>
        <w:spacing w:line="600" w:lineRule="exact"/>
        <w:ind w:right="210"/>
        <w:jc w:val="center"/>
        <w:rPr>
          <w:rFonts w:eastAsia="方正小标宋简体"/>
          <w:color w:val="auto"/>
          <w:sz w:val="44"/>
          <w:szCs w:val="44"/>
        </w:rPr>
      </w:pPr>
      <w:r>
        <w:rPr>
          <w:rFonts w:hint="eastAsia" w:eastAsia="方正小标宋简体"/>
          <w:color w:val="auto"/>
          <w:sz w:val="44"/>
          <w:szCs w:val="44"/>
        </w:rPr>
        <w:t>征收土地及养老保障情况表</w:t>
      </w:r>
    </w:p>
    <w:p w14:paraId="5CCF1D26">
      <w:pPr>
        <w:spacing w:line="600" w:lineRule="exact"/>
        <w:ind w:right="770"/>
        <w:jc w:val="righ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单位：亩、万元</w:t>
      </w:r>
    </w:p>
    <w:tbl>
      <w:tblPr>
        <w:tblStyle w:val="7"/>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72"/>
        <w:gridCol w:w="2182"/>
        <w:gridCol w:w="1731"/>
        <w:gridCol w:w="1841"/>
        <w:gridCol w:w="1880"/>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25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被征地单位</w:t>
            </w:r>
          </w:p>
        </w:tc>
        <w:tc>
          <w:tcPr>
            <w:tcW w:w="173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征收土地面积</w:t>
            </w:r>
          </w:p>
        </w:tc>
        <w:tc>
          <w:tcPr>
            <w:tcW w:w="184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其中属于被征地单位留用地面积</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72" w:type="dxa"/>
            <w:vMerge w:val="restart"/>
            <w:tcBorders>
              <w:top w:val="single" w:color="auto" w:sz="4" w:space="0"/>
              <w:right w:val="single" w:color="auto" w:sz="4" w:space="0"/>
            </w:tcBorders>
            <w:noWrap w:val="0"/>
            <w:vAlign w:val="center"/>
          </w:tcPr>
          <w:p w14:paraId="7104540F">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广州市</w:t>
            </w:r>
          </w:p>
          <w:p w14:paraId="3004AA2B">
            <w:pPr>
              <w:widowControl/>
              <w:spacing w:line="300" w:lineRule="exact"/>
              <w:ind w:left="-38" w:leftChars="-12"/>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花都区</w:t>
            </w:r>
          </w:p>
          <w:p w14:paraId="5F807550">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花山镇</w:t>
            </w:r>
          </w:p>
        </w:tc>
        <w:tc>
          <w:tcPr>
            <w:tcW w:w="218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新和村经济联合社</w:t>
            </w:r>
          </w:p>
        </w:tc>
        <w:tc>
          <w:tcPr>
            <w:tcW w:w="1731" w:type="dxa"/>
            <w:tcBorders>
              <w:top w:val="single" w:color="auto" w:sz="4" w:space="0"/>
              <w:left w:val="single" w:color="auto" w:sz="4" w:space="0"/>
              <w:bottom w:val="single" w:color="auto" w:sz="4" w:space="0"/>
              <w:right w:val="single" w:color="auto" w:sz="4" w:space="0"/>
            </w:tcBorders>
            <w:noWrap w:val="0"/>
            <w:vAlign w:val="center"/>
          </w:tcPr>
          <w:p w14:paraId="7E2311E1">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8.9715</w:t>
            </w:r>
          </w:p>
        </w:tc>
        <w:tc>
          <w:tcPr>
            <w:tcW w:w="184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0.8160</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_GB2312" w:hAnsi="仿宋_GB2312" w:eastAsia="仿宋_GB2312" w:cs="仿宋_GB2312"/>
                <w:color w:val="auto"/>
                <w:kern w:val="0"/>
                <w:sz w:val="24"/>
                <w:szCs w:val="24"/>
                <w:lang w:val="en-US" w:eastAsia="zh-CN"/>
              </w:rPr>
            </w:pPr>
            <w:r>
              <w:rPr>
                <w:rFonts w:hint="eastAsia" w:ascii="宋体" w:hAnsi="宋体" w:eastAsia="宋体" w:cs="宋体"/>
                <w:i w:val="0"/>
                <w:iCs w:val="0"/>
                <w:color w:val="auto"/>
                <w:kern w:val="0"/>
                <w:sz w:val="22"/>
                <w:szCs w:val="22"/>
                <w:u w:val="none"/>
                <w:lang w:val="en-US" w:eastAsia="zh-CN" w:bidi="ar"/>
              </w:rPr>
              <w:t>17.46</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72"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_GB2312" w:hAnsi="仿宋_GB2312" w:eastAsia="仿宋_GB2312" w:cs="仿宋_GB2312"/>
                <w:color w:val="auto"/>
                <w:kern w:val="0"/>
                <w:sz w:val="24"/>
                <w:szCs w:val="24"/>
              </w:rPr>
            </w:pPr>
          </w:p>
        </w:tc>
        <w:tc>
          <w:tcPr>
            <w:tcW w:w="2182"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5367AFB">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平西村经济联合社</w:t>
            </w:r>
          </w:p>
        </w:tc>
        <w:tc>
          <w:tcPr>
            <w:tcW w:w="1731" w:type="dxa"/>
            <w:tcBorders>
              <w:top w:val="single" w:color="auto" w:sz="4" w:space="0"/>
              <w:left w:val="single" w:color="auto" w:sz="4" w:space="0"/>
              <w:bottom w:val="single" w:color="auto" w:sz="4" w:space="0"/>
              <w:right w:val="single" w:color="auto" w:sz="4" w:space="0"/>
            </w:tcBorders>
            <w:noWrap w:val="0"/>
            <w:vAlign w:val="center"/>
          </w:tcPr>
          <w:p w14:paraId="57C557EE">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6.2805</w:t>
            </w:r>
          </w:p>
        </w:tc>
        <w:tc>
          <w:tcPr>
            <w:tcW w:w="184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0</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_GB2312" w:hAnsi="仿宋_GB2312" w:eastAsia="仿宋_GB2312" w:cs="仿宋_GB2312"/>
                <w:color w:val="auto"/>
                <w:kern w:val="0"/>
                <w:sz w:val="24"/>
                <w:szCs w:val="24"/>
                <w:lang w:val="en-US" w:eastAsia="zh-CN"/>
              </w:rPr>
            </w:pPr>
            <w:r>
              <w:rPr>
                <w:rFonts w:hint="eastAsia" w:ascii="宋体" w:hAnsi="宋体" w:eastAsia="宋体" w:cs="宋体"/>
                <w:i w:val="0"/>
                <w:iCs w:val="0"/>
                <w:color w:val="auto"/>
                <w:kern w:val="0"/>
                <w:sz w:val="22"/>
                <w:szCs w:val="22"/>
                <w:u w:val="none"/>
                <w:lang w:val="en-US" w:eastAsia="zh-CN" w:bidi="ar"/>
              </w:rPr>
              <w:t>13.45</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25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合计</w:t>
            </w:r>
          </w:p>
        </w:tc>
        <w:tc>
          <w:tcPr>
            <w:tcW w:w="1731" w:type="dxa"/>
            <w:tcBorders>
              <w:top w:val="single" w:color="auto" w:sz="4" w:space="0"/>
              <w:left w:val="single" w:color="auto" w:sz="4" w:space="0"/>
              <w:bottom w:val="single" w:color="auto" w:sz="4" w:space="0"/>
              <w:right w:val="single" w:color="auto" w:sz="4" w:space="0"/>
            </w:tcBorders>
            <w:noWrap w:val="0"/>
            <w:vAlign w:val="center"/>
          </w:tcPr>
          <w:p w14:paraId="7BBFCFDF">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15.2520</w:t>
            </w:r>
          </w:p>
        </w:tc>
        <w:tc>
          <w:tcPr>
            <w:tcW w:w="184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widowControl/>
              <w:spacing w:line="300" w:lineRule="exact"/>
              <w:ind w:left="-38" w:leftChars="-12"/>
              <w:jc w:val="center"/>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rPr>
              <w:t>0.8160</w:t>
            </w:r>
          </w:p>
        </w:tc>
        <w:tc>
          <w:tcPr>
            <w:tcW w:w="1880"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_GB2312" w:hAnsi="仿宋_GB2312" w:eastAsia="仿宋_GB2312" w:cs="仿宋_GB2312"/>
                <w:color w:val="auto"/>
                <w:kern w:val="0"/>
                <w:sz w:val="24"/>
                <w:szCs w:val="24"/>
                <w:lang w:val="en-US" w:eastAsia="zh-CN"/>
              </w:rPr>
            </w:pPr>
            <w:r>
              <w:rPr>
                <w:rFonts w:hint="eastAsia" w:ascii="宋体" w:hAnsi="宋体" w:eastAsia="宋体" w:cs="宋体"/>
                <w:i w:val="0"/>
                <w:iCs w:val="0"/>
                <w:color w:val="auto"/>
                <w:kern w:val="0"/>
                <w:sz w:val="22"/>
                <w:szCs w:val="22"/>
                <w:u w:val="none"/>
                <w:lang w:val="en-US" w:eastAsia="zh-CN" w:bidi="ar"/>
              </w:rPr>
              <w:t>30.91</w:t>
            </w:r>
          </w:p>
        </w:tc>
      </w:tr>
    </w:tbl>
    <w:p w14:paraId="004532A4">
      <w:pPr>
        <w:spacing w:line="320" w:lineRule="exact"/>
        <w:ind w:right="210"/>
        <w:jc w:val="left"/>
        <w:rPr>
          <w:rFonts w:hint="eastAsia"/>
          <w:color w:val="auto"/>
          <w:sz w:val="24"/>
          <w:szCs w:val="28"/>
        </w:rPr>
      </w:pPr>
      <w:r>
        <w:rPr>
          <w:rFonts w:hint="eastAsia"/>
          <w:color w:val="auto"/>
          <w:sz w:val="24"/>
          <w:szCs w:val="28"/>
          <w:lang w:eastAsia="zh-CN"/>
        </w:rPr>
        <w:t>备注：</w:t>
      </w:r>
      <w:r>
        <w:rPr>
          <w:rFonts w:hint="eastAsia"/>
          <w:color w:val="auto"/>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Pr>
        <w:rPr>
          <w:color w:val="auto"/>
        </w:rPr>
      </w:pPr>
    </w:p>
    <w:p w14:paraId="39AE2E30">
      <w:pPr>
        <w:pStyle w:val="2"/>
        <w:rPr>
          <w:color w:val="auto"/>
        </w:rPr>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8E33DF"/>
    <w:rsid w:val="033451DB"/>
    <w:rsid w:val="06144AD1"/>
    <w:rsid w:val="08464AE7"/>
    <w:rsid w:val="08EC2A03"/>
    <w:rsid w:val="093A3CC5"/>
    <w:rsid w:val="0B9B6E50"/>
    <w:rsid w:val="0C1E49CC"/>
    <w:rsid w:val="0CE91961"/>
    <w:rsid w:val="0DEEA1F0"/>
    <w:rsid w:val="0E3140D7"/>
    <w:rsid w:val="0FBC6CA4"/>
    <w:rsid w:val="12341E88"/>
    <w:rsid w:val="13714D70"/>
    <w:rsid w:val="15CE692B"/>
    <w:rsid w:val="18A233DB"/>
    <w:rsid w:val="19E21F71"/>
    <w:rsid w:val="1B6337E0"/>
    <w:rsid w:val="20B67655"/>
    <w:rsid w:val="211F0DDA"/>
    <w:rsid w:val="215E252F"/>
    <w:rsid w:val="23141564"/>
    <w:rsid w:val="28702BCD"/>
    <w:rsid w:val="2A015B73"/>
    <w:rsid w:val="2B972895"/>
    <w:rsid w:val="2DAF2E8F"/>
    <w:rsid w:val="2DEF62F4"/>
    <w:rsid w:val="2F1903FA"/>
    <w:rsid w:val="34DF2359"/>
    <w:rsid w:val="35F746F3"/>
    <w:rsid w:val="36EF346B"/>
    <w:rsid w:val="383071EA"/>
    <w:rsid w:val="38813E6C"/>
    <w:rsid w:val="39751ECE"/>
    <w:rsid w:val="39831A8C"/>
    <w:rsid w:val="3A09021C"/>
    <w:rsid w:val="3A9535F9"/>
    <w:rsid w:val="3CFF5EF7"/>
    <w:rsid w:val="3DAA0446"/>
    <w:rsid w:val="3E3629B5"/>
    <w:rsid w:val="3EA022D5"/>
    <w:rsid w:val="3F6655A0"/>
    <w:rsid w:val="3F9BBD6E"/>
    <w:rsid w:val="3FFDBD33"/>
    <w:rsid w:val="401160FF"/>
    <w:rsid w:val="40736F4A"/>
    <w:rsid w:val="42A07318"/>
    <w:rsid w:val="42AE5403"/>
    <w:rsid w:val="450C1F37"/>
    <w:rsid w:val="4A8B480A"/>
    <w:rsid w:val="4C363821"/>
    <w:rsid w:val="56293227"/>
    <w:rsid w:val="57B071EF"/>
    <w:rsid w:val="57C7E304"/>
    <w:rsid w:val="595E5E5B"/>
    <w:rsid w:val="5A666CB6"/>
    <w:rsid w:val="5D7072F6"/>
    <w:rsid w:val="5D722B54"/>
    <w:rsid w:val="5DDB6CB6"/>
    <w:rsid w:val="5FE43DCD"/>
    <w:rsid w:val="614340C8"/>
    <w:rsid w:val="62414B38"/>
    <w:rsid w:val="64127CE3"/>
    <w:rsid w:val="64374311"/>
    <w:rsid w:val="647F43E7"/>
    <w:rsid w:val="65A9621A"/>
    <w:rsid w:val="66177D25"/>
    <w:rsid w:val="6910044C"/>
    <w:rsid w:val="69B87A02"/>
    <w:rsid w:val="6FF9F39F"/>
    <w:rsid w:val="6FFB9958"/>
    <w:rsid w:val="72270D40"/>
    <w:rsid w:val="72C048A2"/>
    <w:rsid w:val="737FF138"/>
    <w:rsid w:val="7451241A"/>
    <w:rsid w:val="748706FC"/>
    <w:rsid w:val="74AF1E51"/>
    <w:rsid w:val="775AC795"/>
    <w:rsid w:val="777FA5BE"/>
    <w:rsid w:val="77FB2D2A"/>
    <w:rsid w:val="79A963F5"/>
    <w:rsid w:val="79E3CDD2"/>
    <w:rsid w:val="7A301722"/>
    <w:rsid w:val="7A4A27FD"/>
    <w:rsid w:val="7BFFFF5C"/>
    <w:rsid w:val="7C1546B9"/>
    <w:rsid w:val="7C376A40"/>
    <w:rsid w:val="7C9FDE54"/>
    <w:rsid w:val="7D384D60"/>
    <w:rsid w:val="7D7D4211"/>
    <w:rsid w:val="7DF30E5A"/>
    <w:rsid w:val="7DFD7E4B"/>
    <w:rsid w:val="7F7915C0"/>
    <w:rsid w:val="7F9A7F94"/>
    <w:rsid w:val="7FF44637"/>
    <w:rsid w:val="7FFF9DF4"/>
    <w:rsid w:val="9FEFF522"/>
    <w:rsid w:val="9FF68742"/>
    <w:rsid w:val="B2E9B95C"/>
    <w:rsid w:val="B6DF6E23"/>
    <w:rsid w:val="B9CD4D2D"/>
    <w:rsid w:val="BDFC218B"/>
    <w:rsid w:val="CA5FEEC6"/>
    <w:rsid w:val="CEE980B6"/>
    <w:rsid w:val="D7CE1413"/>
    <w:rsid w:val="DDF7103C"/>
    <w:rsid w:val="DEFEB4A5"/>
    <w:rsid w:val="E75F0F27"/>
    <w:rsid w:val="F3FF72C5"/>
    <w:rsid w:val="F6DBB5BF"/>
    <w:rsid w:val="F7AE0030"/>
    <w:rsid w:val="FDFB98E0"/>
    <w:rsid w:val="FED73428"/>
    <w:rsid w:val="FFCFD59B"/>
    <w:rsid w:val="FFF7F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1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2021-11-15T06:53:00Z</dcterms:created>
  <dc:creator>小灵通</dc:creator>
  <cp:lastModifiedBy>Administrator</cp:lastModifiedBy>
  <cp:lastPrinted>2022-01-09T07:55:00Z</cp:lastPrinted>
  <dcterms:modified xsi:type="dcterms:W3CDTF">2026-05-13T03:17:03Z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0596A25B53104600A6FE465086F9EA59_13</vt:lpwstr>
  </property>
</Properties>
</file>