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仿宋" w:eastAsia="方正小标宋简体" w:cs="宋体"/>
          <w:bCs/>
          <w:color w:val="FF0000"/>
          <w:sz w:val="44"/>
          <w:szCs w:val="44"/>
        </w:rPr>
        <w:t>广州市花都区2024年度第五十四批次城镇建设用地（体育公园中一地块）</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1BF5E34">
      <w:pPr>
        <w:pStyle w:val="2"/>
        <w:jc w:val="center"/>
        <w:rPr>
          <w:rFonts w:hint="eastAsia"/>
          <w:color w:val="auto"/>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代拟稿</w:t>
      </w:r>
      <w:r>
        <w:rPr>
          <w:rFonts w:hint="eastAsia" w:ascii="仿宋_GB2312" w:hAnsi="仿宋_GB2312" w:eastAsia="仿宋_GB2312" w:cs="仿宋_GB2312"/>
          <w:color w:val="auto"/>
          <w:sz w:val="32"/>
          <w:szCs w:val="32"/>
          <w:lang w:eastAsia="zh-CN"/>
        </w:rPr>
        <w:t>）</w:t>
      </w:r>
    </w:p>
    <w:p w14:paraId="499895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40" w:lineRule="exact"/>
        <w:ind w:right="0" w:rightChars="0"/>
        <w:jc w:val="left"/>
        <w:textAlignment w:val="auto"/>
        <w:outlineLvl w:val="9"/>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                  </w:t>
      </w: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kern w:val="0"/>
          <w:shd w:val="clear" w:color="auto" w:fill="FFFFFF"/>
          <w:lang w:bidi="ar"/>
        </w:rPr>
        <w:t>依照</w:t>
      </w:r>
      <w:r>
        <w:rPr>
          <w:rFonts w:hint="eastAsia" w:ascii="仿宋_GB2312" w:hAnsi="仿宋_GB2312" w:cs="仿宋_GB2312"/>
        </w:rPr>
        <w:t>《中华人民共和国土地管理法》、</w:t>
      </w:r>
      <w:r>
        <w:rPr>
          <w:rFonts w:hint="eastAsia" w:ascii="仿宋_GB2312" w:hAnsi="仿宋_GB2312" w:cs="仿宋_GB2312"/>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和</w:t>
      </w:r>
      <w:r>
        <w:rPr>
          <w:rFonts w:hint="eastAsia" w:ascii="仿宋_GB2312" w:hAnsi="仿宋_GB2312" w:cs="仿宋_GB2312"/>
          <w:color w:val="auto"/>
          <w:kern w:val="0"/>
          <w:shd w:val="clear" w:color="auto" w:fill="FFFFFF"/>
          <w:lang w:bidi="ar"/>
        </w:rPr>
        <w:t>《广州市人民政府办公厅转发关于进一步完善我省被征地农民养老保障政策意见的通知》（穗府办规〔2022〕3号）等</w:t>
      </w:r>
      <w:r>
        <w:rPr>
          <w:rFonts w:hint="eastAsia" w:ascii="仿宋_GB2312" w:hAnsi="仿宋_GB2312" w:cs="仿宋_GB2312"/>
          <w:kern w:val="0"/>
          <w:shd w:val="clear" w:color="auto" w:fill="FFFFFF"/>
          <w:lang w:bidi="ar"/>
        </w:rPr>
        <w:t>有关规定，拟定</w:t>
      </w:r>
      <w:r>
        <w:rPr>
          <w:rFonts w:hint="eastAsia" w:ascii="仿宋_GB2312" w:hAnsi="仿宋_GB2312" w:cs="仿宋_GB2312"/>
          <w:color w:val="FF0000"/>
          <w:kern w:val="0"/>
          <w:shd w:val="clear" w:color="auto" w:fill="FFFFFF"/>
          <w:lang w:bidi="ar"/>
        </w:rPr>
        <w:t>广州市花都区2024年度第</w:t>
      </w:r>
      <w:r>
        <w:rPr>
          <w:rFonts w:hint="eastAsia" w:ascii="仿宋_GB2312" w:hAnsi="仿宋_GB2312" w:cs="仿宋_GB2312"/>
          <w:color w:val="FF0000"/>
          <w:kern w:val="0"/>
          <w:shd w:val="clear" w:color="auto" w:fill="FFFFFF"/>
          <w:lang w:eastAsia="zh-CN" w:bidi="ar"/>
        </w:rPr>
        <w:t>五十四</w:t>
      </w:r>
      <w:r>
        <w:rPr>
          <w:rFonts w:hint="eastAsia" w:ascii="仿宋_GB2312" w:hAnsi="仿宋_GB2312" w:cs="仿宋_GB2312"/>
          <w:color w:val="FF0000"/>
          <w:kern w:val="0"/>
          <w:shd w:val="clear" w:color="auto" w:fill="FFFFFF"/>
          <w:lang w:bidi="ar"/>
        </w:rPr>
        <w:t>批次城镇建设用地（</w:t>
      </w:r>
      <w:r>
        <w:rPr>
          <w:rFonts w:hint="eastAsia" w:ascii="仿宋_GB2312" w:hAnsi="仿宋_GB2312" w:cs="仿宋_GB2312"/>
          <w:color w:val="FF0000"/>
          <w:kern w:val="0"/>
          <w:shd w:val="clear" w:color="auto" w:fill="FFFFFF"/>
          <w:lang w:eastAsia="zh-CN" w:bidi="ar"/>
        </w:rPr>
        <w:t>体育公园中一地块</w:t>
      </w:r>
      <w:r>
        <w:rPr>
          <w:rFonts w:hint="eastAsia" w:ascii="仿宋_GB2312" w:hAnsi="仿宋_GB2312" w:cs="仿宋_GB2312"/>
          <w:color w:val="FF0000"/>
          <w:kern w:val="0"/>
          <w:shd w:val="clear" w:color="auto" w:fill="FFFFFF"/>
          <w:lang w:bidi="ar"/>
        </w:rPr>
        <w:t>）</w:t>
      </w:r>
      <w:r>
        <w:rPr>
          <w:rFonts w:hint="eastAsia" w:ascii="仿宋_GB2312" w:hAnsi="仿宋_GB2312" w:cs="仿宋_GB2312"/>
          <w:color w:val="auto"/>
          <w:kern w:val="0"/>
          <w:shd w:val="clear" w:color="auto" w:fill="FFFFFF"/>
          <w:lang w:eastAsia="zh-CN" w:bidi="ar"/>
        </w:rPr>
        <w:t>项目</w:t>
      </w:r>
      <w:r>
        <w:rPr>
          <w:rFonts w:hint="eastAsia" w:ascii="仿宋_GB2312" w:hAnsi="仿宋_GB2312" w:eastAsia="仿宋_GB2312" w:cs="仿宋_GB2312"/>
          <w:color w:val="auto"/>
          <w:lang w:val="en-US" w:eastAsia="zh-CN"/>
        </w:rPr>
        <w:t>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FF0000"/>
          <w:kern w:val="0"/>
          <w:shd w:val="clear" w:color="auto" w:fill="FFFFFF"/>
          <w:lang w:bidi="ar"/>
        </w:rPr>
        <w:t>广州市花都区2024年度第</w:t>
      </w:r>
      <w:r>
        <w:rPr>
          <w:rFonts w:hint="eastAsia" w:ascii="仿宋_GB2312" w:hAnsi="仿宋_GB2312" w:cs="仿宋_GB2312"/>
          <w:color w:val="FF0000"/>
          <w:kern w:val="0"/>
          <w:shd w:val="clear" w:color="auto" w:fill="FFFFFF"/>
          <w:lang w:eastAsia="zh-CN" w:bidi="ar"/>
        </w:rPr>
        <w:t>五十四</w:t>
      </w:r>
      <w:r>
        <w:rPr>
          <w:rFonts w:hint="eastAsia" w:ascii="仿宋_GB2312" w:hAnsi="仿宋_GB2312" w:cs="仿宋_GB2312"/>
          <w:color w:val="FF0000"/>
          <w:kern w:val="0"/>
          <w:shd w:val="clear" w:color="auto" w:fill="FFFFFF"/>
          <w:lang w:bidi="ar"/>
        </w:rPr>
        <w:t>批次城镇建设用地（</w:t>
      </w:r>
      <w:r>
        <w:rPr>
          <w:rFonts w:hint="eastAsia" w:ascii="仿宋_GB2312" w:hAnsi="仿宋_GB2312" w:cs="仿宋_GB2312"/>
          <w:color w:val="FF0000"/>
          <w:kern w:val="0"/>
          <w:shd w:val="clear" w:color="auto" w:fill="FFFFFF"/>
          <w:lang w:eastAsia="zh-CN" w:bidi="ar"/>
        </w:rPr>
        <w:t>体育公园中一地块</w:t>
      </w:r>
      <w:r>
        <w:rPr>
          <w:rFonts w:hint="eastAsia" w:ascii="仿宋_GB2312" w:hAnsi="仿宋_GB2312" w:cs="仿宋_GB2312"/>
          <w:color w:val="FF0000"/>
          <w:kern w:val="0"/>
          <w:shd w:val="clear" w:color="auto" w:fill="FFFFFF"/>
          <w:lang w:bidi="ar"/>
        </w:rPr>
        <w:t>）</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eastAsia="仿宋_GB2312"/>
          <w:color w:val="FF0000"/>
          <w:sz w:val="32"/>
          <w:szCs w:val="32"/>
          <w:u w:val="none"/>
          <w:lang w:eastAsia="zh-CN"/>
        </w:rPr>
        <w:t>花城街石岗村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w:t>
      </w:r>
      <w:r>
        <w:rPr>
          <w:rFonts w:hint="eastAsia" w:ascii="仿宋_GB2312" w:hAnsi="仿宋_GB2312" w:cs="仿宋_GB2312"/>
          <w:i w:val="0"/>
          <w:caps w:val="0"/>
          <w:color w:val="FF0000"/>
          <w:spacing w:val="0"/>
          <w:kern w:val="0"/>
          <w:sz w:val="32"/>
          <w:szCs w:val="32"/>
          <w:shd w:val="clear" w:color="auto" w:fill="FFFFFF"/>
          <w:lang w:val="en-US" w:eastAsia="zh-CN" w:bidi="ar"/>
        </w:rPr>
        <w:t>165.9840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FF0000"/>
          <w:kern w:val="2"/>
          <w:shd w:val="clear" w:color="auto" w:fill="auto"/>
          <w:lang w:val="en-US" w:eastAsia="zh-CN" w:bidi="ar-SA"/>
        </w:rPr>
        <w:t>0</w:t>
      </w:r>
      <w:r>
        <w:rPr>
          <w:rFonts w:hint="eastAsia" w:ascii="仿宋_GB2312" w:hAnsi="仿宋_GB2312" w:cs="仿宋_GB2312"/>
          <w:color w:val="FF0000"/>
          <w:kern w:val="2"/>
          <w:shd w:val="clear" w:color="auto" w:fill="auto"/>
          <w:lang w:bidi="ar-SA"/>
        </w:rPr>
        <w:t>亩</w:t>
      </w:r>
      <w:r>
        <w:rPr>
          <w:rFonts w:hint="eastAsia" w:ascii="仿宋_GB2312" w:hAnsi="仿宋_GB2312" w:cs="仿宋_GB2312"/>
          <w:color w:val="auto"/>
          <w:kern w:val="2"/>
          <w:shd w:val="clear" w:color="auto" w:fill="auto"/>
          <w:lang w:bidi="ar-SA"/>
        </w:rPr>
        <w:t>属于农村集体经济组织留用地</w:t>
      </w:r>
      <w:r>
        <w:rPr>
          <w:rFonts w:hint="eastAsia" w:ascii="仿宋_GB2312" w:hAnsi="仿宋_GB2312" w:cs="仿宋_GB2312"/>
          <w:color w:val="auto"/>
        </w:rPr>
        <w:t>，</w:t>
      </w:r>
      <w:r>
        <w:rPr>
          <w:rFonts w:hint="eastAsia" w:ascii="仿宋_GB2312" w:hAnsi="仿宋_GB2312" w:cs="仿宋_GB2312"/>
          <w:color w:val="FF0000"/>
        </w:rPr>
        <w:t>征地双方</w:t>
      </w:r>
      <w:r>
        <w:rPr>
          <w:rFonts w:hint="eastAsia" w:ascii="仿宋_GB2312" w:hAnsi="仿宋_GB2312" w:cs="仿宋_GB2312"/>
          <w:color w:val="FF0000"/>
          <w:kern w:val="2"/>
          <w:highlight w:val="none"/>
          <w:shd w:val="clear" w:color="auto" w:fill="auto"/>
          <w:lang w:eastAsia="zh-CN" w:bidi="ar-SA"/>
        </w:rPr>
        <w:t>于</w:t>
      </w:r>
      <w:r>
        <w:rPr>
          <w:rFonts w:hint="eastAsia" w:ascii="仿宋_GB2312" w:hAnsi="仿宋_GB2312" w:cs="仿宋_GB2312"/>
          <w:color w:val="FF0000"/>
          <w:kern w:val="2"/>
          <w:highlight w:val="none"/>
          <w:shd w:val="clear" w:color="auto" w:fill="auto"/>
          <w:lang w:val="en-US" w:eastAsia="zh-CN" w:bidi="ar-SA"/>
        </w:rPr>
        <w:t>2024年11月</w:t>
      </w:r>
      <w:r>
        <w:rPr>
          <w:rFonts w:hint="eastAsia" w:ascii="仿宋_GB2312" w:hAnsi="仿宋_GB2312" w:cs="仿宋_GB2312"/>
          <w:color w:val="FF0000"/>
        </w:rPr>
        <w:t>完成</w:t>
      </w:r>
      <w:r>
        <w:rPr>
          <w:rFonts w:hint="eastAsia" w:ascii="仿宋_GB2312" w:hAnsi="仿宋_GB2312" w:cs="仿宋_GB2312"/>
          <w:color w:val="FF0000"/>
          <w:highlight w:val="none"/>
        </w:rPr>
        <w:t>征地补偿安置协议签订</w:t>
      </w:r>
      <w:r>
        <w:rPr>
          <w:rFonts w:hint="eastAsia" w:ascii="仿宋_GB2312" w:hAnsi="仿宋_GB2312" w:cs="仿宋_GB2312"/>
          <w:color w:val="auto"/>
          <w:highlight w:val="none"/>
        </w:rPr>
        <w:t>。</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FF0000"/>
          <w:highlight w:val="none"/>
          <w:lang w:val="en-US" w:eastAsia="zh-CN"/>
        </w:rPr>
        <w:t>0</w:t>
      </w:r>
      <w:r>
        <w:rPr>
          <w:rFonts w:hint="eastAsia" w:ascii="仿宋_GB2312" w:hAnsi="仿宋_GB2312" w:cs="仿宋_GB2312"/>
          <w:color w:val="FF0000"/>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FF0000"/>
        </w:rPr>
        <w:t>355.23</w:t>
      </w:r>
      <w:r>
        <w:rPr>
          <w:rFonts w:hint="eastAsia" w:ascii="仿宋_GB2312" w:hAnsi="仿宋_GB2312" w:cs="仿宋_GB2312"/>
          <w:color w:val="FF0000"/>
          <w:kern w:val="2"/>
          <w:shd w:val="clear" w:color="auto" w:fill="auto"/>
          <w:lang w:bidi="ar-SA"/>
        </w:rPr>
        <w:t>万元</w:t>
      </w:r>
      <w:r>
        <w:rPr>
          <w:rFonts w:hint="eastAsia" w:ascii="仿宋_GB2312" w:hAnsi="仿宋_GB2312" w:cs="仿宋_GB2312"/>
          <w:color w:val="auto"/>
          <w:kern w:val="2"/>
          <w:shd w:val="clear" w:color="auto" w:fill="auto"/>
          <w:lang w:bidi="ar-SA"/>
        </w:rPr>
        <w:t>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34D3D7F1">
      <w:pPr>
        <w:numPr>
          <w:ilvl w:val="0"/>
          <w:numId w:val="0"/>
        </w:numPr>
        <w:ind w:firstLine="640" w:firstLineChars="200"/>
        <w:rPr>
          <w:rFonts w:hint="eastAsia" w:ascii="仿宋_GB2312" w:hAnsi="仿宋_GB2312" w:eastAsia="仿宋_GB2312" w:cs="仿宋_GB2312"/>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。一是</w:t>
      </w:r>
      <w:r>
        <w:rPr>
          <w:rFonts w:ascii="仿宋_GB2312" w:hAnsi="仿宋_GB2312" w:eastAsia="仿宋_GB2312" w:cs="仿宋_GB2312"/>
          <w:b w:val="0"/>
          <w:bCs w:val="0"/>
          <w:color w:val="auto"/>
        </w:rPr>
        <w:t>征地社保</w:t>
      </w:r>
      <w:r>
        <w:rPr>
          <w:rFonts w:ascii="仿宋_GB2312" w:hAnsi="仿宋_GB2312" w:cs="仿宋_GB2312"/>
          <w:b w:val="0"/>
          <w:bCs w:val="0"/>
          <w:color w:val="auto"/>
        </w:rPr>
        <w:t>费</w:t>
      </w:r>
      <w:r>
        <w:rPr>
          <w:rFonts w:hint="eastAsia" w:ascii="仿宋_GB2312" w:hAnsi="仿宋_GB2312" w:cs="仿宋_GB2312"/>
          <w:b w:val="0"/>
          <w:bCs w:val="0"/>
          <w:color w:val="auto"/>
        </w:rPr>
        <w:t>专款用于被征地农民</w:t>
      </w:r>
      <w:r>
        <w:rPr>
          <w:rFonts w:hint="eastAsia" w:ascii="仿宋_GB2312" w:hAnsi="仿宋_GB2312" w:cs="仿宋_GB2312"/>
          <w:b w:val="0"/>
          <w:bCs w:val="0"/>
          <w:color w:val="auto"/>
          <w:lang w:val="en-US" w:eastAsia="zh-CN"/>
        </w:rPr>
        <w:t>的基本</w:t>
      </w:r>
      <w:r>
        <w:rPr>
          <w:rFonts w:hint="eastAsia" w:ascii="仿宋_GB2312" w:hAnsi="仿宋_GB2312" w:cs="仿宋_GB2312"/>
          <w:b w:val="0"/>
          <w:bCs w:val="0"/>
          <w:color w:val="auto"/>
        </w:rPr>
        <w:t>养老保险</w:t>
      </w:r>
      <w:r>
        <w:rPr>
          <w:rFonts w:hint="eastAsia" w:ascii="仿宋_GB2312" w:hAnsi="仿宋_GB2312" w:cs="仿宋_GB2312"/>
          <w:b w:val="0"/>
          <w:bCs w:val="0"/>
          <w:color w:val="auto"/>
          <w:lang w:val="en-US" w:eastAsia="zh-CN"/>
        </w:rPr>
        <w:t>补贴。二是落实</w:t>
      </w:r>
      <w:r>
        <w:rPr>
          <w:rFonts w:hint="eastAsia" w:ascii="仿宋_GB2312" w:hAnsi="仿宋_GB2312" w:cs="仿宋_GB2312"/>
          <w:b w:val="0"/>
          <w:bCs/>
          <w:color w:val="auto"/>
          <w:lang w:val="en-US" w:eastAsia="zh-CN"/>
        </w:rPr>
        <w:t>“</w:t>
      </w:r>
      <w:r>
        <w:rPr>
          <w:rFonts w:ascii="仿宋_GB2312" w:hAnsi="仿宋_GB2312" w:eastAsia="仿宋_GB2312" w:cs="仿宋_GB2312"/>
          <w:b w:val="0"/>
          <w:bCs/>
          <w:color w:val="auto"/>
        </w:rPr>
        <w:t>征地社保费与征地安置补偿费同期拨付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征地土地</w:t>
      </w:r>
      <w:r>
        <w:rPr>
          <w:rFonts w:hint="eastAsia" w:ascii="仿宋_GB2312" w:hAnsi="仿宋_GB2312" w:eastAsia="仿宋_GB2312" w:cs="仿宋_GB2312"/>
          <w:bCs w:val="0"/>
          <w:color w:val="auto"/>
          <w:kern w:val="2"/>
          <w:shd w:val="clear" w:color="auto" w:fill="auto"/>
          <w:lang w:bidi="ar-SA"/>
        </w:rPr>
        <w:t>和养老保障情况表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w:t>
      </w:r>
      <w:r>
        <w:rPr>
          <w:rFonts w:hint="eastAsia" w:ascii="仿宋_GB2312" w:hAnsi="仿宋_GB2312" w:cs="仿宋_GB2312"/>
          <w:color w:val="FF0000"/>
          <w:sz w:val="32"/>
          <w:szCs w:val="32"/>
          <w:lang w:val="en-US" w:eastAsia="zh-CN"/>
        </w:rPr>
        <w:t>2026</w:t>
      </w:r>
      <w:r>
        <w:rPr>
          <w:rFonts w:hint="eastAsia" w:ascii="仿宋_GB2312" w:hAnsi="仿宋_GB2312" w:eastAsia="仿宋_GB2312" w:cs="仿宋_GB2312"/>
          <w:color w:val="FF0000"/>
          <w:sz w:val="32"/>
          <w:szCs w:val="32"/>
          <w:lang w:val="en-US" w:eastAsia="zh-CN"/>
        </w:rPr>
        <w:t>年</w:t>
      </w:r>
      <w:r>
        <w:rPr>
          <w:rFonts w:hint="eastAsia" w:ascii="仿宋_GB2312" w:hAnsi="仿宋_GB2312" w:cs="仿宋_GB2312"/>
          <w:color w:val="FF0000"/>
          <w:sz w:val="32"/>
          <w:szCs w:val="32"/>
          <w:lang w:val="en-US" w:eastAsia="zh-CN"/>
        </w:rPr>
        <w:t>4</w:t>
      </w:r>
      <w:r>
        <w:rPr>
          <w:rFonts w:hint="eastAsia" w:ascii="仿宋_GB2312" w:hAnsi="仿宋_GB2312" w:eastAsia="仿宋_GB2312" w:cs="仿宋_GB2312"/>
          <w:color w:val="FF0000"/>
          <w:sz w:val="32"/>
          <w:szCs w:val="32"/>
          <w:lang w:val="en-US" w:eastAsia="zh-CN"/>
        </w:rPr>
        <w:t>月</w:t>
      </w:r>
      <w:r>
        <w:rPr>
          <w:rFonts w:hint="eastAsia" w:ascii="仿宋_GB2312" w:hAnsi="仿宋_GB2312" w:cs="仿宋_GB2312"/>
          <w:i w:val="0"/>
          <w:caps w:val="0"/>
          <w:color w:val="FF0000"/>
          <w:spacing w:val="0"/>
          <w:kern w:val="0"/>
          <w:sz w:val="32"/>
          <w:szCs w:val="32"/>
          <w:shd w:val="clear" w:color="auto" w:fill="FFFFFF"/>
          <w:lang w:val="en-US" w:eastAsia="zh-CN" w:bidi="ar"/>
        </w:rPr>
        <w:t>2</w:t>
      </w:r>
      <w:r>
        <w:rPr>
          <w:rFonts w:hint="eastAsia" w:ascii="仿宋_GB2312" w:hAnsi="仿宋_GB2312" w:eastAsia="仿宋_GB2312" w:cs="仿宋_GB2312"/>
          <w:i w:val="0"/>
          <w:caps w:val="0"/>
          <w:color w:val="FF0000"/>
          <w:spacing w:val="0"/>
          <w:kern w:val="0"/>
          <w:sz w:val="32"/>
          <w:szCs w:val="32"/>
          <w:shd w:val="clear" w:color="auto" w:fill="FFFFFF"/>
          <w:lang w:val="en-US" w:eastAsia="zh-CN" w:bidi="ar"/>
        </w:rPr>
        <w:t>日</w:t>
      </w:r>
    </w:p>
    <w:p w14:paraId="3470883A">
      <w:pPr>
        <w:pStyle w:val="2"/>
        <w:rPr>
          <w:rFonts w:hint="eastAsia" w:ascii="仿宋_GB2312" w:hAnsi="仿宋_GB2312" w:eastAsia="仿宋_GB2312" w:cs="仿宋_GB2312"/>
          <w:i w:val="0"/>
          <w:caps w:val="0"/>
          <w:color w:val="FF0000"/>
          <w:spacing w:val="0"/>
          <w:kern w:val="0"/>
          <w:sz w:val="32"/>
          <w:szCs w:val="32"/>
          <w:shd w:val="clear" w:color="auto" w:fill="FFFFFF"/>
          <w:lang w:val="en-US" w:eastAsia="zh-CN" w:bidi="ar"/>
        </w:rPr>
      </w:pPr>
    </w:p>
    <w:p w14:paraId="2F5CDF5F">
      <w:pPr>
        <w:rPr>
          <w:rFonts w:hint="eastAsia"/>
          <w:lang w:val="en-US" w:eastAsia="zh-CN"/>
        </w:rPr>
      </w:pPr>
    </w:p>
    <w:p w14:paraId="50062A6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sz w:val="32"/>
          <w:szCs w:val="32"/>
        </w:rPr>
      </w:pPr>
    </w:p>
    <w:p w14:paraId="40B07DDD">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sz w:val="32"/>
          <w:szCs w:val="32"/>
        </w:rPr>
      </w:pPr>
    </w:p>
    <w:p w14:paraId="534E2BEA">
      <w:pPr>
        <w:rPr>
          <w:rFonts w:hint="eastAsia" w:ascii="黑体" w:hAnsi="黑体" w:eastAsia="黑体" w:cs="黑体"/>
        </w:rPr>
      </w:pPr>
    </w:p>
    <w:p w14:paraId="345AE5B8">
      <w:pPr>
        <w:rPr>
          <w:rFonts w:hint="eastAsia" w:ascii="黑体" w:hAnsi="黑体" w:eastAsia="黑体" w:cs="黑体"/>
        </w:rPr>
      </w:pPr>
    </w:p>
    <w:p w14:paraId="31FB3E74">
      <w:pPr>
        <w:rPr>
          <w:rFonts w:hint="eastAsia" w:ascii="黑体" w:hAnsi="黑体" w:eastAsia="黑体" w:cs="黑体"/>
        </w:rPr>
      </w:pPr>
    </w:p>
    <w:p w14:paraId="64B84DE8">
      <w:pPr>
        <w:rPr>
          <w:rFonts w:hint="eastAsia" w:ascii="黑体" w:hAnsi="黑体" w:eastAsia="黑体" w:cs="黑体"/>
        </w:rPr>
      </w:pPr>
    </w:p>
    <w:p w14:paraId="2EC22838">
      <w:pPr>
        <w:rPr>
          <w:rFonts w:hint="eastAsia" w:ascii="黑体" w:hAnsi="黑体" w:eastAsia="黑体" w:cs="黑体"/>
        </w:rPr>
      </w:pPr>
    </w:p>
    <w:p w14:paraId="268C1050">
      <w:pPr>
        <w:rPr>
          <w:rFonts w:hint="eastAsia" w:ascii="黑体" w:hAnsi="黑体" w:eastAsia="黑体" w:cs="黑体"/>
        </w:rPr>
      </w:pPr>
    </w:p>
    <w:p w14:paraId="75445572">
      <w:pPr>
        <w:rPr>
          <w:rFonts w:hint="eastAsia" w:ascii="黑体" w:hAnsi="黑体" w:eastAsia="黑体" w:cs="黑体"/>
        </w:rPr>
      </w:pPr>
    </w:p>
    <w:p w14:paraId="4813A69E">
      <w:pPr>
        <w:pStyle w:val="2"/>
        <w:rPr>
          <w:rFonts w:hint="eastAsia" w:ascii="黑体" w:hAnsi="黑体" w:eastAsia="黑体" w:cs="黑体"/>
        </w:rPr>
      </w:pPr>
    </w:p>
    <w:p w14:paraId="1895C6AF">
      <w:pPr>
        <w:pStyle w:val="2"/>
        <w:rPr>
          <w:rFonts w:hint="eastAsia" w:ascii="黑体" w:hAnsi="黑体" w:eastAsia="黑体" w:cs="黑体"/>
        </w:rPr>
      </w:pPr>
    </w:p>
    <w:p w14:paraId="59540C57">
      <w:pPr>
        <w:pStyle w:val="2"/>
        <w:rPr>
          <w:rFonts w:hint="eastAsia" w:ascii="黑体" w:hAnsi="黑体" w:eastAsia="黑体" w:cs="黑体"/>
        </w:rPr>
      </w:pP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7"/>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113"/>
        <w:gridCol w:w="2345"/>
        <w:gridCol w:w="1777"/>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458"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13" w:type="dxa"/>
            <w:vMerge w:val="restart"/>
            <w:tcBorders>
              <w:top w:val="single" w:color="auto" w:sz="4" w:space="0"/>
              <w:right w:val="single" w:color="auto" w:sz="4" w:space="0"/>
            </w:tcBorders>
            <w:noWrap w:val="0"/>
            <w:vAlign w:val="center"/>
          </w:tcPr>
          <w:p w14:paraId="02538585">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广州市</w:t>
            </w:r>
          </w:p>
          <w:p w14:paraId="01B8B5E9">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花都区</w:t>
            </w:r>
          </w:p>
          <w:p w14:paraId="734008D5">
            <w:pPr>
              <w:widowControl/>
              <w:spacing w:line="300" w:lineRule="exact"/>
              <w:ind w:left="-38" w:leftChars="-12"/>
              <w:jc w:val="center"/>
              <w:rPr>
                <w:rFonts w:hint="eastAsia" w:ascii="仿宋_GB2312" w:hAnsi="仿宋_GB2312" w:eastAsia="仿宋_GB2312" w:cs="仿宋_GB2312"/>
                <w:kern w:val="0"/>
                <w:sz w:val="24"/>
                <w:szCs w:val="24"/>
                <w:lang w:eastAsia="zh-CN"/>
              </w:rPr>
            </w:pPr>
            <w:bookmarkStart w:id="0" w:name="_GoBack"/>
            <w:bookmarkEnd w:id="0"/>
            <w:r>
              <w:rPr>
                <w:rFonts w:hint="eastAsia" w:ascii="仿宋_GB2312" w:hAnsi="仿宋_GB2312" w:eastAsia="仿宋_GB2312" w:cs="仿宋_GB2312"/>
                <w:kern w:val="0"/>
                <w:sz w:val="24"/>
                <w:szCs w:val="24"/>
                <w:lang w:val="en-US" w:eastAsia="zh-CN"/>
              </w:rPr>
              <w:t>花城街</w:t>
            </w:r>
          </w:p>
        </w:tc>
        <w:tc>
          <w:tcPr>
            <w:tcW w:w="234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widowControl/>
              <w:spacing w:line="300" w:lineRule="exact"/>
              <w:ind w:left="-38" w:leftChars="-12"/>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石岗村经济联合社</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43.758</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93.65</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13" w:type="dxa"/>
            <w:vMerge w:val="continue"/>
            <w:tcBorders>
              <w:right w:val="single" w:color="auto" w:sz="4" w:space="0"/>
            </w:tcBorders>
            <w:noWrap w:val="0"/>
            <w:vAlign w:val="center"/>
          </w:tcPr>
          <w:p w14:paraId="5E72ADCC">
            <w:pPr>
              <w:widowControl/>
              <w:spacing w:line="300" w:lineRule="exact"/>
              <w:ind w:left="-38" w:leftChars="-12"/>
              <w:jc w:val="center"/>
              <w:rPr>
                <w:rFonts w:hint="eastAsia" w:ascii="仿宋_GB2312" w:hAnsi="仿宋_GB2312" w:eastAsia="仿宋_GB2312" w:cs="仿宋_GB2312"/>
                <w:kern w:val="0"/>
                <w:sz w:val="24"/>
                <w:szCs w:val="24"/>
              </w:rPr>
            </w:pPr>
          </w:p>
        </w:tc>
        <w:tc>
          <w:tcPr>
            <w:tcW w:w="234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widowControl/>
              <w:spacing w:line="300" w:lineRule="exact"/>
              <w:ind w:left="-38" w:leftChars="-12"/>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石岗村上升三四经济合作社</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5.043</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10.8</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13" w:type="dxa"/>
            <w:vMerge w:val="continue"/>
            <w:tcBorders>
              <w:right w:val="single" w:color="auto" w:sz="4" w:space="0"/>
            </w:tcBorders>
            <w:noWrap w:val="0"/>
            <w:vAlign w:val="center"/>
          </w:tcPr>
          <w:p w14:paraId="60A9CD56">
            <w:pPr>
              <w:widowControl/>
              <w:spacing w:line="300" w:lineRule="exact"/>
              <w:ind w:left="-38" w:leftChars="-12"/>
              <w:jc w:val="center"/>
              <w:rPr>
                <w:rFonts w:hint="eastAsia" w:ascii="仿宋_GB2312" w:hAnsi="仿宋_GB2312" w:eastAsia="仿宋_GB2312" w:cs="仿宋_GB2312"/>
                <w:kern w:val="0"/>
                <w:sz w:val="24"/>
                <w:szCs w:val="24"/>
              </w:rPr>
            </w:pPr>
          </w:p>
        </w:tc>
        <w:tc>
          <w:tcPr>
            <w:tcW w:w="234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widowControl/>
              <w:spacing w:line="300" w:lineRule="exact"/>
              <w:ind w:left="-38" w:leftChars="-12"/>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石岗村上升一经济合作社、石岗村上升二经济合作社（共有）</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116.889</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5FA691A">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250.15</w:t>
            </w:r>
          </w:p>
        </w:tc>
      </w:tr>
      <w:tr w14:paraId="28E0F58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113" w:type="dxa"/>
            <w:vMerge w:val="continue"/>
            <w:tcBorders>
              <w:right w:val="single" w:color="auto" w:sz="4" w:space="0"/>
            </w:tcBorders>
            <w:noWrap w:val="0"/>
            <w:vAlign w:val="center"/>
          </w:tcPr>
          <w:p w14:paraId="78C714F6">
            <w:pPr>
              <w:widowControl/>
              <w:spacing w:line="300" w:lineRule="exact"/>
              <w:ind w:left="-38" w:leftChars="-12"/>
              <w:jc w:val="center"/>
              <w:rPr>
                <w:rFonts w:hint="eastAsia" w:ascii="仿宋_GB2312" w:hAnsi="仿宋_GB2312" w:eastAsia="仿宋_GB2312" w:cs="仿宋_GB2312"/>
                <w:kern w:val="0"/>
                <w:sz w:val="24"/>
                <w:szCs w:val="24"/>
              </w:rPr>
            </w:pPr>
          </w:p>
        </w:tc>
        <w:tc>
          <w:tcPr>
            <w:tcW w:w="234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F513B3C">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石岗村上升二经济合作社、石岗村上升五经济合作社、石岗村上升一经济合作社</w:t>
            </w:r>
            <w:r>
              <w:rPr>
                <w:rFonts w:hint="eastAsia" w:ascii="仿宋_GB2312" w:hAnsi="仿宋_GB2312" w:eastAsia="仿宋_GB2312" w:cs="仿宋_GB2312"/>
                <w:kern w:val="0"/>
                <w:sz w:val="24"/>
                <w:szCs w:val="24"/>
                <w:lang w:val="en-US" w:eastAsia="zh-CN"/>
              </w:rPr>
              <w:br w:type="textWrapping"/>
            </w:r>
            <w:r>
              <w:rPr>
                <w:rFonts w:hint="eastAsia" w:ascii="仿宋_GB2312" w:hAnsi="仿宋_GB2312" w:eastAsia="仿宋_GB2312" w:cs="仿宋_GB2312"/>
                <w:kern w:val="0"/>
                <w:sz w:val="24"/>
                <w:szCs w:val="24"/>
                <w:lang w:val="en-US" w:eastAsia="zh-CN"/>
              </w:rPr>
              <w:t>（共有）</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1884F755">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0.294</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5AB46A2">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DDE92BF">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0.63</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458"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合      计</w:t>
            </w:r>
          </w:p>
        </w:tc>
        <w:tc>
          <w:tcPr>
            <w:tcW w:w="1777"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165.984</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widowControl/>
              <w:spacing w:line="300" w:lineRule="exact"/>
              <w:ind w:left="-38" w:leftChars="-12"/>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355.23</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Droid Sans Fallbac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仿宋_GB2312">
    <w:altName w:val="CESI仿宋-GB13000"/>
    <w:panose1 w:val="02010609030101010101"/>
    <w:charset w:val="86"/>
    <w:family w:val="modern"/>
    <w:pitch w:val="default"/>
    <w:sig w:usb0="00000000" w:usb1="00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CESI黑体-GB13000">
    <w:panose1 w:val="02000500000000000000"/>
    <w:charset w:val="86"/>
    <w:family w:val="auto"/>
    <w:pitch w:val="default"/>
    <w:sig w:usb0="800002BF" w:usb1="38CF7CF8" w:usb2="00000016" w:usb3="00000000" w:csb0="0004000F" w:csb1="00000000"/>
  </w:font>
  <w:font w:name="方正小标宋简体">
    <w:altName w:val="CESI小标宋-GB13000"/>
    <w:panose1 w:val="03000509000000000000"/>
    <w:charset w:val="86"/>
    <w:family w:val="auto"/>
    <w:pitch w:val="default"/>
    <w:sig w:usb0="00000000" w:usb1="00000000" w:usb2="00000000" w:usb3="00000000" w:csb0="00040000" w:csb1="00000000"/>
  </w:font>
  <w:font w:name="CESI小标宋-GB13000">
    <w:panose1 w:val="02000500000000000000"/>
    <w:charset w:val="86"/>
    <w:family w:val="auto"/>
    <w:pitch w:val="default"/>
    <w:sig w:usb0="800002BF" w:usb1="18CF7CF8" w:usb2="00000016" w:usb3="00000000" w:csb0="0004000F" w:csb1="00000000"/>
  </w:font>
  <w:font w:name="仿宋">
    <w:altName w:val="CESI仿宋-GB13000"/>
    <w:panose1 w:val="02010609060101010101"/>
    <w:charset w:val="86"/>
    <w:family w:val="modern"/>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28E33DF"/>
    <w:rsid w:val="033451DB"/>
    <w:rsid w:val="06144AD1"/>
    <w:rsid w:val="08464AE7"/>
    <w:rsid w:val="08EC2A03"/>
    <w:rsid w:val="093A3CC5"/>
    <w:rsid w:val="0B9B6E50"/>
    <w:rsid w:val="0C1E49CC"/>
    <w:rsid w:val="0CE91961"/>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F6655A0"/>
    <w:rsid w:val="401160FF"/>
    <w:rsid w:val="40736F4A"/>
    <w:rsid w:val="42A07318"/>
    <w:rsid w:val="42AE5403"/>
    <w:rsid w:val="450C1F37"/>
    <w:rsid w:val="4A8B480A"/>
    <w:rsid w:val="4C363821"/>
    <w:rsid w:val="51EB4725"/>
    <w:rsid w:val="56293227"/>
    <w:rsid w:val="57B071EF"/>
    <w:rsid w:val="57C7E304"/>
    <w:rsid w:val="595E5E5B"/>
    <w:rsid w:val="5A666CB6"/>
    <w:rsid w:val="5D7072F6"/>
    <w:rsid w:val="5D722B54"/>
    <w:rsid w:val="5EAFD1D4"/>
    <w:rsid w:val="5FD9A301"/>
    <w:rsid w:val="5FE43DCD"/>
    <w:rsid w:val="614340C8"/>
    <w:rsid w:val="64127CE3"/>
    <w:rsid w:val="64374311"/>
    <w:rsid w:val="647F43E7"/>
    <w:rsid w:val="65A9621A"/>
    <w:rsid w:val="66177D25"/>
    <w:rsid w:val="679EAF27"/>
    <w:rsid w:val="67F7D4E5"/>
    <w:rsid w:val="6910044C"/>
    <w:rsid w:val="69B87A02"/>
    <w:rsid w:val="6ECE83A7"/>
    <w:rsid w:val="6FF9F39F"/>
    <w:rsid w:val="71BF4E2F"/>
    <w:rsid w:val="72270D40"/>
    <w:rsid w:val="72C048A2"/>
    <w:rsid w:val="7451241A"/>
    <w:rsid w:val="748706FC"/>
    <w:rsid w:val="74AF1E51"/>
    <w:rsid w:val="79A963F5"/>
    <w:rsid w:val="7A301722"/>
    <w:rsid w:val="7A4A27FD"/>
    <w:rsid w:val="7C1546B9"/>
    <w:rsid w:val="7C376A40"/>
    <w:rsid w:val="7D384D60"/>
    <w:rsid w:val="7DF30E5A"/>
    <w:rsid w:val="7F9A7F94"/>
    <w:rsid w:val="9B8EFE0D"/>
    <w:rsid w:val="BDFC218B"/>
    <w:rsid w:val="BF5D49D6"/>
    <w:rsid w:val="DEFEB4A5"/>
    <w:rsid w:val="EFFE41E7"/>
    <w:rsid w:val="F7FBEBAD"/>
    <w:rsid w:val="F9FD6CE3"/>
    <w:rsid w:val="FDEB38F0"/>
    <w:rsid w:val="FFF7F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11"/>
    <w:basedOn w:val="9"/>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2021-11-12T22:53:00Z</dcterms:created>
  <dc:creator>小灵通</dc:creator>
  <cp:lastModifiedBy>刘睿允</cp:lastModifiedBy>
  <cp:lastPrinted>2022-01-06T23:55:00Z</cp:lastPrinted>
  <dcterms:modified xsi:type="dcterms:W3CDTF">2026-04-02T16:46:33Z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0596A25B53104600A6FE465086F9EA59_13</vt:lpwstr>
  </property>
</Properties>
</file>