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5B8A3">
      <w:pPr>
        <w:keepNext w:val="0"/>
        <w:keepLines w:val="0"/>
        <w:pageBreakBefore w:val="0"/>
        <w:widowControl w:val="0"/>
        <w:kinsoku/>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sz w:val="44"/>
          <w:szCs w:val="44"/>
        </w:rPr>
      </w:pPr>
    </w:p>
    <w:p w14:paraId="7681B3BF">
      <w:pPr>
        <w:keepNext w:val="0"/>
        <w:keepLines w:val="0"/>
        <w:pageBreakBefore w:val="0"/>
        <w:widowControl w:val="0"/>
        <w:kinsoku/>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sz w:val="44"/>
          <w:szCs w:val="44"/>
        </w:rPr>
      </w:pPr>
    </w:p>
    <w:p w14:paraId="69389D65">
      <w:pPr>
        <w:keepNext w:val="0"/>
        <w:keepLines w:val="0"/>
        <w:pageBreakBefore w:val="0"/>
        <w:widowControl w:val="0"/>
        <w:kinsoku/>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sz w:val="44"/>
          <w:szCs w:val="44"/>
        </w:rPr>
      </w:pPr>
    </w:p>
    <w:p w14:paraId="2BC87F3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关于广州市花都区2024年度第</w:t>
      </w:r>
      <w:r>
        <w:rPr>
          <w:rFonts w:hint="default" w:ascii="Times New Roman" w:hAnsi="Times New Roman" w:eastAsia="方正小标宋简体" w:cs="Times New Roman"/>
          <w:sz w:val="44"/>
          <w:szCs w:val="44"/>
          <w:lang w:eastAsia="zh-CN"/>
        </w:rPr>
        <w:t>五十四</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eastAsia="zh-CN"/>
        </w:rPr>
        <w:t>体育公园中一地块</w:t>
      </w:r>
      <w:r>
        <w:rPr>
          <w:rFonts w:hint="default" w:ascii="Times New Roman" w:hAnsi="Times New Roman" w:eastAsia="方正小标宋简体" w:cs="Times New Roman"/>
          <w:sz w:val="44"/>
          <w:szCs w:val="44"/>
        </w:rPr>
        <w:t>）的</w:t>
      </w:r>
    </w:p>
    <w:p w14:paraId="39DB2D7F">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征地补偿安置方案</w:t>
      </w:r>
    </w:p>
    <w:p w14:paraId="3F1E73FB">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p>
    <w:p w14:paraId="4017CA29">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为实施</w:t>
      </w:r>
      <w:r>
        <w:rPr>
          <w:rFonts w:hint="default" w:ascii="Times New Roman" w:hAnsi="Times New Roman" w:eastAsia="仿宋_GB2312" w:cs="Times New Roman"/>
          <w:sz w:val="32"/>
        </w:rPr>
        <w:t>广州市花都区</w:t>
      </w:r>
      <w:r>
        <w:rPr>
          <w:rFonts w:hint="default" w:ascii="Times New Roman" w:hAnsi="Times New Roman" w:eastAsia="仿宋_GB2312" w:cs="Times New Roman"/>
          <w:sz w:val="32"/>
          <w:szCs w:val="32"/>
          <w:lang w:eastAsia="zh-CN"/>
        </w:rPr>
        <w:t>花城街</w:t>
      </w:r>
      <w:r>
        <w:rPr>
          <w:rFonts w:hint="default" w:ascii="Times New Roman" w:hAnsi="Times New Roman" w:eastAsia="仿宋_GB2312" w:cs="Times New Roman"/>
          <w:sz w:val="32"/>
          <w:szCs w:val="32"/>
        </w:rPr>
        <w:t>建设规划，完善城市功能，改善城市环境，促进经济、文化发展，广州市花都区人民政府拟征收广州市花都区</w:t>
      </w:r>
      <w:r>
        <w:rPr>
          <w:rFonts w:hint="default" w:ascii="Times New Roman" w:hAnsi="Times New Roman" w:eastAsia="仿宋_GB2312" w:cs="Times New Roman"/>
          <w:sz w:val="32"/>
          <w:szCs w:val="32"/>
          <w:lang w:eastAsia="zh-CN"/>
        </w:rPr>
        <w:t>花城街石岗村</w:t>
      </w:r>
      <w:r>
        <w:rPr>
          <w:rFonts w:hint="default" w:ascii="Times New Roman" w:hAnsi="Times New Roman" w:eastAsia="仿宋_GB2312" w:cs="Times New Roman"/>
          <w:sz w:val="32"/>
          <w:szCs w:val="32"/>
        </w:rPr>
        <w:t>经济联合社</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石岗村</w:t>
      </w:r>
      <w:r>
        <w:rPr>
          <w:rFonts w:hint="default" w:ascii="Times New Roman" w:hAnsi="Times New Roman" w:eastAsia="仿宋_GB2312" w:cs="Times New Roman"/>
          <w:sz w:val="32"/>
          <w:szCs w:val="32"/>
          <w:lang w:eastAsia="zh-CN"/>
        </w:rPr>
        <w:t>上升三四经济合作社，</w:t>
      </w:r>
      <w:r>
        <w:rPr>
          <w:rFonts w:hint="eastAsia" w:ascii="Times New Roman" w:hAnsi="Times New Roman" w:eastAsia="仿宋_GB2312" w:cs="Times New Roman"/>
          <w:sz w:val="32"/>
          <w:szCs w:val="32"/>
          <w:lang w:val="en-US" w:eastAsia="zh-CN"/>
        </w:rPr>
        <w:t>石岗村</w:t>
      </w:r>
      <w:r>
        <w:rPr>
          <w:rFonts w:hint="default" w:ascii="Times New Roman" w:hAnsi="Times New Roman" w:eastAsia="仿宋_GB2312" w:cs="Times New Roman"/>
          <w:sz w:val="32"/>
          <w:szCs w:val="32"/>
          <w:lang w:eastAsia="zh-CN"/>
        </w:rPr>
        <w:t>上升二经济合作社、上升一经济合作社（共有），</w:t>
      </w:r>
      <w:r>
        <w:rPr>
          <w:rFonts w:hint="eastAsia" w:ascii="Times New Roman" w:hAnsi="Times New Roman" w:eastAsia="仿宋_GB2312" w:cs="Times New Roman"/>
          <w:sz w:val="32"/>
          <w:szCs w:val="32"/>
          <w:lang w:val="en-US" w:eastAsia="zh-CN"/>
        </w:rPr>
        <w:t>石岗村上升二经济合作社、上升五经济合作社、上升一经济合作社（共有）</w:t>
      </w:r>
      <w:r>
        <w:rPr>
          <w:rFonts w:hint="default" w:ascii="Times New Roman" w:hAnsi="Times New Roman" w:eastAsia="仿宋_GB2312" w:cs="Times New Roman"/>
          <w:sz w:val="32"/>
        </w:rPr>
        <w:t>属下的集体土地</w:t>
      </w:r>
      <w:r>
        <w:rPr>
          <w:rFonts w:hint="eastAsia" w:ascii="Times New Roman" w:hAnsi="Times New Roman" w:eastAsia="仿宋_GB2312" w:cs="Times New Roman"/>
          <w:sz w:val="32"/>
          <w:lang w:val="en-US" w:eastAsia="zh-CN"/>
        </w:rPr>
        <w:t>11.0656</w:t>
      </w:r>
      <w:r>
        <w:rPr>
          <w:rFonts w:hint="default" w:ascii="Times New Roman" w:hAnsi="Times New Roman" w:eastAsia="仿宋_GB2312" w:cs="Times New Roman"/>
          <w:sz w:val="32"/>
        </w:rPr>
        <w:t>公顷。</w:t>
      </w:r>
      <w:r>
        <w:rPr>
          <w:rFonts w:hint="default" w:ascii="Times New Roman" w:hAnsi="Times New Roman" w:eastAsia="仿宋_GB2312" w:cs="Times New Roman"/>
          <w:sz w:val="32"/>
          <w:szCs w:val="32"/>
        </w:rPr>
        <w:t>根据《中华人民共和国土地管理法》第二条、四十五条、第四十七条，《中华人民共和国土地管理法实施条例》第二十七条、第二十八条，以及《广东省土地管理条例》第三十条等规定，结合花都区的征收农用地区片综合地价和实际情况，拟定了征地补偿安置方案，具体如下：</w:t>
      </w:r>
    </w:p>
    <w:p w14:paraId="19C9E514">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bCs/>
          <w:sz w:val="32"/>
          <w:szCs w:val="32"/>
        </w:rPr>
        <w:t>一、征收范围</w:t>
      </w:r>
    </w:p>
    <w:p w14:paraId="40F06660">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bookmarkStart w:id="0" w:name="_Hlk161301917"/>
      <w:r>
        <w:rPr>
          <w:rFonts w:hint="default" w:ascii="Times New Roman" w:hAnsi="Times New Roman" w:eastAsia="仿宋_GB2312" w:cs="Times New Roman"/>
          <w:bCs/>
          <w:sz w:val="32"/>
          <w:szCs w:val="32"/>
        </w:rPr>
        <w:t>拟征收土地位于</w:t>
      </w:r>
      <w:r>
        <w:rPr>
          <w:rFonts w:hint="default" w:ascii="Times New Roman" w:hAnsi="Times New Roman" w:eastAsia="仿宋_GB2312" w:cs="Times New Roman"/>
          <w:sz w:val="32"/>
          <w:szCs w:val="32"/>
        </w:rPr>
        <w:t>广州市花都区</w:t>
      </w:r>
      <w:r>
        <w:rPr>
          <w:rFonts w:hint="default" w:ascii="Times New Roman" w:hAnsi="Times New Roman" w:eastAsia="仿宋_GB2312" w:cs="Times New Roman"/>
          <w:sz w:val="32"/>
          <w:szCs w:val="32"/>
          <w:lang w:eastAsia="zh-CN"/>
        </w:rPr>
        <w:t>花城街石岗村</w:t>
      </w:r>
      <w:r>
        <w:rPr>
          <w:rFonts w:hint="default" w:ascii="Times New Roman" w:hAnsi="Times New Roman" w:eastAsia="仿宋_GB2312" w:cs="Times New Roman"/>
          <w:sz w:val="32"/>
          <w:szCs w:val="32"/>
        </w:rPr>
        <w:t>经济联合社</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石岗村</w:t>
      </w:r>
      <w:r>
        <w:rPr>
          <w:rFonts w:hint="default" w:ascii="Times New Roman" w:hAnsi="Times New Roman" w:eastAsia="仿宋_GB2312" w:cs="Times New Roman"/>
          <w:sz w:val="32"/>
          <w:szCs w:val="32"/>
          <w:lang w:eastAsia="zh-CN"/>
        </w:rPr>
        <w:t>上升三四经济合作社，</w:t>
      </w:r>
      <w:r>
        <w:rPr>
          <w:rFonts w:hint="eastAsia" w:ascii="Times New Roman" w:hAnsi="Times New Roman" w:eastAsia="仿宋_GB2312" w:cs="Times New Roman"/>
          <w:sz w:val="32"/>
          <w:szCs w:val="32"/>
          <w:lang w:val="en-US" w:eastAsia="zh-CN"/>
        </w:rPr>
        <w:t>石岗村</w:t>
      </w:r>
      <w:r>
        <w:rPr>
          <w:rFonts w:hint="default" w:ascii="Times New Roman" w:hAnsi="Times New Roman" w:eastAsia="仿宋_GB2312" w:cs="Times New Roman"/>
          <w:sz w:val="32"/>
          <w:szCs w:val="32"/>
          <w:lang w:eastAsia="zh-CN"/>
        </w:rPr>
        <w:t>上升二经济合作社、上升一经济合作社（共有），</w:t>
      </w:r>
      <w:r>
        <w:rPr>
          <w:rFonts w:hint="eastAsia" w:ascii="Times New Roman" w:hAnsi="Times New Roman" w:eastAsia="仿宋_GB2312" w:cs="Times New Roman"/>
          <w:sz w:val="32"/>
          <w:szCs w:val="32"/>
          <w:lang w:val="en-US" w:eastAsia="zh-CN"/>
        </w:rPr>
        <w:t>石岗村上升二经济合作社、上升五经济合作社、上升一经济合作社（共有）</w:t>
      </w:r>
      <w:r>
        <w:rPr>
          <w:rFonts w:hint="default" w:ascii="Times New Roman" w:hAnsi="Times New Roman" w:eastAsia="仿宋_GB2312" w:cs="Times New Roman"/>
          <w:bCs/>
          <w:sz w:val="32"/>
          <w:szCs w:val="32"/>
        </w:rPr>
        <w:t>范围内</w:t>
      </w:r>
      <w:bookmarkEnd w:id="0"/>
      <w:r>
        <w:rPr>
          <w:rFonts w:hint="default" w:ascii="Times New Roman" w:hAnsi="Times New Roman" w:eastAsia="仿宋_GB2312" w:cs="Times New Roman"/>
          <w:bCs/>
          <w:sz w:val="32"/>
          <w:szCs w:val="32"/>
        </w:rPr>
        <w:t>。实际征收土地范围以最终批准文件为准。</w:t>
      </w:r>
    </w:p>
    <w:p w14:paraId="607C6343">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二、征收目的</w:t>
      </w:r>
    </w:p>
    <w:p w14:paraId="74BD463C">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bookmarkStart w:id="1" w:name="_Hlk142467650"/>
      <w:r>
        <w:rPr>
          <w:rFonts w:hint="eastAsia" w:ascii="Times New Roman" w:hAnsi="Times New Roman" w:eastAsia="仿宋_GB2312" w:cs="Times New Roman"/>
          <w:bCs/>
          <w:sz w:val="32"/>
          <w:szCs w:val="32"/>
          <w:lang w:val="en-US" w:eastAsia="zh-CN"/>
        </w:rPr>
        <w:t>根据《中华人民共和国土地管理法》第四十五条的规定，本次征收目的为由政府组织实施的科技、教育、文化、卫生、体育、生态环境和资源保护、防灾减灾、文物保护、社区综合服务、社会福利、市政公用、优抚安置、英烈保护等公共事业需要用地的</w:t>
      </w:r>
      <w:r>
        <w:rPr>
          <w:rFonts w:hint="default" w:ascii="Times New Roman" w:hAnsi="Times New Roman" w:eastAsia="仿宋_GB2312" w:cs="Times New Roman"/>
          <w:bCs/>
          <w:sz w:val="32"/>
          <w:szCs w:val="32"/>
        </w:rPr>
        <w:t>。</w:t>
      </w:r>
    </w:p>
    <w:bookmarkEnd w:id="1"/>
    <w:p w14:paraId="3DFF2935">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三、土地现状</w:t>
      </w:r>
    </w:p>
    <w:p w14:paraId="20A6BE9F">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根据拟征收土地现状调查结果，拟征收土地现状为：</w:t>
      </w:r>
    </w:p>
    <w:p w14:paraId="1E72DB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bookmarkStart w:id="2" w:name="_Hlk155255234"/>
      <w:r>
        <w:rPr>
          <w:rFonts w:hint="default" w:ascii="Times New Roman" w:hAnsi="Times New Roman" w:eastAsia="仿宋_GB2312" w:cs="Times New Roman"/>
          <w:sz w:val="32"/>
          <w:szCs w:val="32"/>
        </w:rPr>
        <w:t>拟征收广州市花都区</w:t>
      </w:r>
      <w:r>
        <w:rPr>
          <w:rFonts w:hint="default" w:ascii="Times New Roman" w:hAnsi="Times New Roman" w:eastAsia="仿宋_GB2312" w:cs="Times New Roman"/>
          <w:sz w:val="32"/>
          <w:szCs w:val="32"/>
          <w:lang w:eastAsia="zh-CN"/>
        </w:rPr>
        <w:t>花城街石岗村</w:t>
      </w:r>
      <w:r>
        <w:rPr>
          <w:rFonts w:hint="default" w:ascii="Times New Roman" w:hAnsi="Times New Roman" w:eastAsia="仿宋_GB2312" w:cs="Times New Roman"/>
          <w:sz w:val="32"/>
          <w:szCs w:val="32"/>
        </w:rPr>
        <w:t>经济联合社</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石岗村</w:t>
      </w:r>
      <w:r>
        <w:rPr>
          <w:rFonts w:hint="default" w:ascii="Times New Roman" w:hAnsi="Times New Roman" w:eastAsia="仿宋_GB2312" w:cs="Times New Roman"/>
          <w:sz w:val="32"/>
          <w:szCs w:val="32"/>
          <w:lang w:eastAsia="zh-CN"/>
        </w:rPr>
        <w:t>上升三四经济合作社，</w:t>
      </w:r>
      <w:r>
        <w:rPr>
          <w:rFonts w:hint="eastAsia" w:ascii="Times New Roman" w:hAnsi="Times New Roman" w:eastAsia="仿宋_GB2312" w:cs="Times New Roman"/>
          <w:sz w:val="32"/>
          <w:szCs w:val="32"/>
          <w:lang w:val="en-US" w:eastAsia="zh-CN"/>
        </w:rPr>
        <w:t>石岗村</w:t>
      </w:r>
      <w:r>
        <w:rPr>
          <w:rFonts w:hint="default" w:ascii="Times New Roman" w:hAnsi="Times New Roman" w:eastAsia="仿宋_GB2312" w:cs="Times New Roman"/>
          <w:sz w:val="32"/>
          <w:szCs w:val="32"/>
          <w:lang w:eastAsia="zh-CN"/>
        </w:rPr>
        <w:t>上升二经济合作社、上升一经济合作社（共有），</w:t>
      </w:r>
      <w:r>
        <w:rPr>
          <w:rFonts w:hint="eastAsia" w:ascii="Times New Roman" w:hAnsi="Times New Roman" w:eastAsia="仿宋_GB2312" w:cs="Times New Roman"/>
          <w:sz w:val="32"/>
          <w:szCs w:val="32"/>
          <w:lang w:val="en-US" w:eastAsia="zh-CN"/>
        </w:rPr>
        <w:t>石岗村上升二经济合作社、上升五经济合作社、上升一经济合作社（共有）</w:t>
      </w:r>
      <w:r>
        <w:rPr>
          <w:rFonts w:hint="default" w:ascii="Times New Roman" w:hAnsi="Times New Roman" w:eastAsia="仿宋_GB2312" w:cs="Times New Roman"/>
          <w:sz w:val="32"/>
          <w:szCs w:val="32"/>
        </w:rPr>
        <w:t>集体所有土地</w:t>
      </w:r>
      <w:r>
        <w:rPr>
          <w:rFonts w:hint="eastAsia" w:ascii="Times New Roman" w:hAnsi="Times New Roman" w:eastAsia="仿宋_GB2312" w:cs="Times New Roman"/>
          <w:sz w:val="32"/>
          <w:szCs w:val="32"/>
          <w:lang w:val="en-US" w:eastAsia="zh-CN"/>
        </w:rPr>
        <w:t>11.0656</w:t>
      </w:r>
      <w:r>
        <w:rPr>
          <w:rFonts w:hint="default" w:ascii="Times New Roman" w:hAnsi="Times New Roman" w:eastAsia="仿宋_GB2312" w:cs="Times New Roman"/>
          <w:sz w:val="32"/>
          <w:szCs w:val="32"/>
        </w:rPr>
        <w:t>公顷（</w:t>
      </w:r>
      <w:r>
        <w:rPr>
          <w:rFonts w:hint="eastAsia" w:ascii="Times New Roman" w:hAnsi="Times New Roman" w:eastAsia="仿宋_GB2312" w:cs="Times New Roman"/>
          <w:sz w:val="32"/>
          <w:szCs w:val="32"/>
          <w:lang w:val="en-US" w:eastAsia="zh-CN"/>
        </w:rPr>
        <w:t>165.9840</w:t>
      </w:r>
      <w:r>
        <w:rPr>
          <w:rFonts w:hint="default" w:ascii="Times New Roman" w:hAnsi="Times New Roman" w:eastAsia="仿宋_GB2312" w:cs="Times New Roman"/>
          <w:sz w:val="32"/>
          <w:szCs w:val="32"/>
        </w:rPr>
        <w:t>亩），</w:t>
      </w:r>
      <w:r>
        <w:rPr>
          <w:rFonts w:hint="eastAsia" w:ascii="Times New Roman" w:hAnsi="Times New Roman" w:eastAsia="仿宋_GB2312" w:cs="Times New Roman"/>
          <w:sz w:val="32"/>
          <w:szCs w:val="32"/>
          <w:lang w:val="en-US" w:eastAsia="zh-CN"/>
        </w:rPr>
        <w:t>均为</w:t>
      </w:r>
      <w:r>
        <w:rPr>
          <w:rFonts w:hint="default" w:ascii="Times New Roman" w:hAnsi="Times New Roman" w:eastAsia="仿宋_GB2312" w:cs="Times New Roman"/>
          <w:sz w:val="32"/>
          <w:szCs w:val="32"/>
        </w:rPr>
        <w:t>建设用地，不涉及</w:t>
      </w:r>
      <w:r>
        <w:rPr>
          <w:rFonts w:hint="default" w:ascii="Times New Roman" w:hAnsi="Times New Roman" w:eastAsia="仿宋_GB2312" w:cs="Times New Roman"/>
          <w:sz w:val="32"/>
          <w:szCs w:val="32"/>
          <w:lang w:eastAsia="zh-CN"/>
        </w:rPr>
        <w:t>农用地和</w:t>
      </w:r>
      <w:r>
        <w:rPr>
          <w:rFonts w:hint="default" w:ascii="Times New Roman" w:hAnsi="Times New Roman" w:eastAsia="仿宋_GB2312" w:cs="Times New Roman"/>
          <w:sz w:val="32"/>
          <w:szCs w:val="32"/>
        </w:rPr>
        <w:t>未利用地</w:t>
      </w:r>
      <w:r>
        <w:rPr>
          <w:rFonts w:hint="default" w:ascii="Times New Roman" w:hAnsi="Times New Roman" w:eastAsia="仿宋_GB2312" w:cs="Times New Roman"/>
          <w:sz w:val="32"/>
          <w:szCs w:val="32"/>
          <w:lang w:eastAsia="zh-CN"/>
        </w:rPr>
        <w:t>。</w:t>
      </w:r>
    </w:p>
    <w:bookmarkEnd w:id="2"/>
    <w:p w14:paraId="496551EF">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四、补偿方式和标准</w:t>
      </w:r>
    </w:p>
    <w:p w14:paraId="3668E548">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（一）土地补偿费和安置补助费标准</w:t>
      </w:r>
    </w:p>
    <w:p w14:paraId="3DE700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根据《广东省自然资源厅关于广州市征收农用地区片综合地价成果的批复》（粤自然资函〔2024〕103号）的规定，土地补偿费标准为120万元/公顷，安置补助费标准为120万元/公顷。</w:t>
      </w:r>
    </w:p>
    <w:p w14:paraId="5AFFDB10">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（二）农村村民住宅补偿</w:t>
      </w:r>
    </w:p>
    <w:p w14:paraId="2BA9AE22">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本次征地不涉及农村村民住宅补偿。</w:t>
      </w:r>
    </w:p>
    <w:p w14:paraId="71AE48F4">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（三）青苗及其他地上附着物补偿</w:t>
      </w:r>
    </w:p>
    <w:p w14:paraId="55C3F92E">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青苗及其他地上附着物补偿参照《广州市花都区人民政府办公室印发花都区片区征地包干补偿工作方案的通知》（花府办〔</w:t>
      </w:r>
      <w:r>
        <w:rPr>
          <w:rFonts w:hint="default" w:ascii="Times New Roman" w:hAnsi="Times New Roman" w:eastAsia="仿宋" w:cs="Times New Roman"/>
          <w:sz w:val="32"/>
          <w:szCs w:val="32"/>
        </w:rPr>
        <w:t>2016</w:t>
      </w:r>
      <w:r>
        <w:rPr>
          <w:rFonts w:hint="default" w:ascii="Times New Roman" w:hAnsi="Times New Roman" w:eastAsia="仿宋_GB2312" w:cs="Times New Roman"/>
          <w:sz w:val="32"/>
          <w:szCs w:val="32"/>
        </w:rPr>
        <w:t>〕12号）的规定执行。</w:t>
      </w:r>
    </w:p>
    <w:p w14:paraId="75A56603">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五、安置对象</w:t>
      </w:r>
    </w:p>
    <w:p w14:paraId="7DB36BDF">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p w14:paraId="3A4A4459">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六、安置方式和社会保障</w:t>
      </w:r>
    </w:p>
    <w:p w14:paraId="41EF7293">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lang w:val="en-US" w:eastAsia="zh-CN"/>
        </w:rPr>
        <w:t>有关</w:t>
      </w:r>
      <w:r>
        <w:rPr>
          <w:rFonts w:hint="default" w:ascii="Times New Roman" w:hAnsi="Times New Roman" w:eastAsia="仿宋_GB2312" w:cs="Times New Roman"/>
          <w:sz w:val="32"/>
          <w:szCs w:val="32"/>
        </w:rPr>
        <w:t>费用已包含在土地补偿安置费中。</w:t>
      </w:r>
    </w:p>
    <w:p w14:paraId="780DBF91">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留用地安置。根据《广东省人民政府办公厅关于加强征收农村集体土地留用地安置管理工作的意见》（粤府办〔2016〕30号），参照《广州市人民政府办公厅关于进一步加强征收农村集体土地留用地管理的意见》（穗府办规〔2018〕17号）相关规定，已办理规划用地手续的留用地再次被政府征收的，按原抵扣留用地指标面积等量返还留用地指标，剩余部分按实际征地面积的10%，按照实地留地方式安排留用地。</w:t>
      </w:r>
    </w:p>
    <w:p w14:paraId="09514234">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（三）社会保障费用。</w:t>
      </w:r>
      <w:bookmarkStart w:id="3" w:name="_Hlk200389735"/>
      <w:r>
        <w:rPr>
          <w:rFonts w:hint="eastAsia" w:ascii="Times New Roman" w:hAnsi="Times New Roman" w:eastAsia="仿宋_GB2312" w:cs="Times New Roman"/>
          <w:sz w:val="32"/>
          <w:szCs w:val="32"/>
        </w:rPr>
        <w:t>该项目征收</w:t>
      </w:r>
      <w:r>
        <w:rPr>
          <w:rFonts w:hint="eastAsia" w:ascii="Times New Roman" w:hAnsi="Times New Roman" w:eastAsia="仿宋_GB2312" w:cs="Times New Roman"/>
          <w:sz w:val="32"/>
          <w:szCs w:val="32"/>
          <w:lang w:val="en-US" w:eastAsia="zh-CN"/>
        </w:rPr>
        <w:t>花城街石岗村</w:t>
      </w:r>
      <w:r>
        <w:rPr>
          <w:rFonts w:hint="eastAsia" w:ascii="Times New Roman" w:hAnsi="Times New Roman" w:eastAsia="仿宋_GB2312" w:cs="Times New Roman"/>
          <w:sz w:val="32"/>
          <w:szCs w:val="32"/>
        </w:rPr>
        <w:t>土地面积共</w:t>
      </w:r>
      <w:r>
        <w:rPr>
          <w:rFonts w:hint="eastAsia" w:ascii="Times New Roman" w:hAnsi="Times New Roman" w:eastAsia="仿宋_GB2312" w:cs="Times New Roman"/>
          <w:sz w:val="32"/>
          <w:szCs w:val="32"/>
          <w:lang w:val="en-US" w:eastAsia="zh-CN"/>
        </w:rPr>
        <w:t>165.9840</w:t>
      </w:r>
      <w:r>
        <w:rPr>
          <w:rFonts w:hint="eastAsia" w:ascii="Times New Roman" w:hAnsi="Times New Roman" w:eastAsia="仿宋_GB2312" w:cs="Times New Roman"/>
          <w:sz w:val="32"/>
          <w:szCs w:val="32"/>
        </w:rPr>
        <w:t>亩</w:t>
      </w:r>
      <w:bookmarkEnd w:id="3"/>
      <w:r>
        <w:rPr>
          <w:rFonts w:hint="eastAsia" w:ascii="Times New Roman" w:hAnsi="Times New Roman" w:eastAsia="仿宋_GB2312" w:cs="Times New Roman"/>
          <w:sz w:val="32"/>
          <w:szCs w:val="32"/>
        </w:rPr>
        <w:t>，</w:t>
      </w:r>
      <w:r>
        <w:rPr>
          <w:rFonts w:hint="default" w:ascii="Times New Roman" w:hAnsi="Times New Roman" w:eastAsia="仿宋_GB2312" w:cs="Times New Roman"/>
          <w:sz w:val="32"/>
          <w:szCs w:val="32"/>
        </w:rPr>
        <w:t>根据《广东省人民政府办公厅转发省人力资源社会保障厅关于进一步完善我省被征地农民养老保障政策意见的通知》（粤府办〔2021〕22号）规定，核定该项目按2.14万元/亩的标准一次性将集体被征地农民养老保障资金存入“收缴被征地农民养老保障资金过渡户”，费用合计355.23万元，专款用于被征地农民缴纳养老保险费用。</w:t>
      </w:r>
    </w:p>
    <w:p w14:paraId="3924142F">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p>
    <w:p w14:paraId="01C8CEDB">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p>
    <w:p w14:paraId="34E621D0">
      <w:pPr>
        <w:keepNext w:val="0"/>
        <w:keepLines w:val="0"/>
        <w:pageBreakBefore w:val="0"/>
        <w:widowControl w:val="0"/>
        <w:numPr>
          <w:ilvl w:val="255"/>
          <w:numId w:val="0"/>
        </w:numPr>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p>
    <w:p w14:paraId="1FAB83E9">
      <w:pPr>
        <w:keepNext w:val="0"/>
        <w:keepLines w:val="0"/>
        <w:pageBreakBefore w:val="0"/>
        <w:widowControl w:val="0"/>
        <w:kinsoku/>
        <w:overflowPunct/>
        <w:topLinePunct w:val="0"/>
        <w:autoSpaceDE/>
        <w:autoSpaceDN/>
        <w:bidi w:val="0"/>
        <w:adjustRightInd/>
        <w:snapToGrid/>
        <w:spacing w:line="560" w:lineRule="exact"/>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广州市规划和自然资源局花都区分局</w:t>
      </w:r>
    </w:p>
    <w:p w14:paraId="0D6FA49B">
      <w:pPr>
        <w:keepNext w:val="0"/>
        <w:keepLines w:val="0"/>
        <w:pageBreakBefore w:val="0"/>
        <w:widowControl w:val="0"/>
        <w:kinsoku/>
        <w:wordWrap w:val="0"/>
        <w:overflowPunct/>
        <w:topLinePunct w:val="0"/>
        <w:autoSpaceDE/>
        <w:autoSpaceDN/>
        <w:bidi w:val="0"/>
        <w:adjustRightInd/>
        <w:snapToGrid/>
        <w:spacing w:line="560" w:lineRule="exact"/>
        <w:ind w:right="320"/>
        <w:jc w:val="center"/>
        <w:textAlignment w:val="auto"/>
        <w:rPr>
          <w:rFonts w:hint="default" w:ascii="Times New Roman" w:hAnsi="Times New Roman" w:cs="Times New Roman"/>
        </w:rPr>
      </w:pPr>
      <w:r>
        <w:rPr>
          <w:rFonts w:hint="default" w:ascii="Times New Roman" w:hAnsi="Times New Roman" w:eastAsia="仿宋_GB2312" w:cs="Times New Roman"/>
          <w:sz w:val="32"/>
          <w:szCs w:val="32"/>
        </w:rPr>
        <w:t xml:space="preserve">                          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w:t>
      </w:r>
      <w:bookmarkStart w:id="4" w:name="_GoBack"/>
      <w:bookmarkEnd w:id="4"/>
      <w:r>
        <w:rPr>
          <w:rFonts w:hint="default" w:ascii="Times New Roman" w:hAnsi="Times New Roman" w:eastAsia="仿宋_GB2312" w:cs="Times New Roman"/>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92F92E-5E2A-41A1-BD7F-B6D174D2B67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F780373A-8995-495A-8278-C6DB27314DD0}"/>
  </w:font>
  <w:font w:name="方正小标宋简体">
    <w:panose1 w:val="03000509000000000000"/>
    <w:charset w:val="86"/>
    <w:family w:val="script"/>
    <w:pitch w:val="default"/>
    <w:sig w:usb0="00000001" w:usb1="080E0000" w:usb2="00000000" w:usb3="00000000" w:csb0="00040000" w:csb1="00000000"/>
    <w:embedRegular r:id="rId3" w:fontKey="{0F3F9695-B338-4DD9-9340-146CDC7BF423}"/>
  </w:font>
  <w:font w:name="仿宋">
    <w:panose1 w:val="02010609060101010101"/>
    <w:charset w:val="86"/>
    <w:family w:val="modern"/>
    <w:pitch w:val="default"/>
    <w:sig w:usb0="800002BF" w:usb1="38CF7CFA" w:usb2="00000016" w:usb3="00000000" w:csb0="00040001" w:csb1="00000000"/>
    <w:embedRegular r:id="rId4" w:fontKey="{FD3F6230-D97C-4BFE-8449-D4FD553A1AB9}"/>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trackRevisions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kN2U0NTE2ZWZjNGNkOGYwMTY5ODIwZjEyYjUxNGMifQ=="/>
  </w:docVars>
  <w:rsids>
    <w:rsidRoot w:val="000F4B96"/>
    <w:rsid w:val="00036749"/>
    <w:rsid w:val="00072859"/>
    <w:rsid w:val="00082361"/>
    <w:rsid w:val="000B145B"/>
    <w:rsid w:val="000D4B79"/>
    <w:rsid w:val="000E5884"/>
    <w:rsid w:val="000F4B96"/>
    <w:rsid w:val="0015098A"/>
    <w:rsid w:val="00163993"/>
    <w:rsid w:val="00164ED0"/>
    <w:rsid w:val="00177C23"/>
    <w:rsid w:val="0018297B"/>
    <w:rsid w:val="001947BC"/>
    <w:rsid w:val="001A344A"/>
    <w:rsid w:val="001A469B"/>
    <w:rsid w:val="001B07D1"/>
    <w:rsid w:val="002231C2"/>
    <w:rsid w:val="00234876"/>
    <w:rsid w:val="00272022"/>
    <w:rsid w:val="00281F6C"/>
    <w:rsid w:val="002B1663"/>
    <w:rsid w:val="0031459E"/>
    <w:rsid w:val="003173F7"/>
    <w:rsid w:val="00324AE5"/>
    <w:rsid w:val="00326331"/>
    <w:rsid w:val="00335BE3"/>
    <w:rsid w:val="00386225"/>
    <w:rsid w:val="003A6945"/>
    <w:rsid w:val="003A7453"/>
    <w:rsid w:val="003A7E44"/>
    <w:rsid w:val="003F5777"/>
    <w:rsid w:val="00416C7C"/>
    <w:rsid w:val="004231B2"/>
    <w:rsid w:val="0047585C"/>
    <w:rsid w:val="004969ED"/>
    <w:rsid w:val="004A1605"/>
    <w:rsid w:val="004B531D"/>
    <w:rsid w:val="004E6319"/>
    <w:rsid w:val="00531C37"/>
    <w:rsid w:val="00581B80"/>
    <w:rsid w:val="00584267"/>
    <w:rsid w:val="00596ED2"/>
    <w:rsid w:val="00604E24"/>
    <w:rsid w:val="00654482"/>
    <w:rsid w:val="00680E37"/>
    <w:rsid w:val="0069527A"/>
    <w:rsid w:val="006958E6"/>
    <w:rsid w:val="006C7CB1"/>
    <w:rsid w:val="006F1593"/>
    <w:rsid w:val="00733448"/>
    <w:rsid w:val="0074592B"/>
    <w:rsid w:val="007C68CD"/>
    <w:rsid w:val="007D66A4"/>
    <w:rsid w:val="007F7339"/>
    <w:rsid w:val="00890FF9"/>
    <w:rsid w:val="008A116F"/>
    <w:rsid w:val="008A2C49"/>
    <w:rsid w:val="008E1164"/>
    <w:rsid w:val="009536EC"/>
    <w:rsid w:val="009540AA"/>
    <w:rsid w:val="00954428"/>
    <w:rsid w:val="00961FDE"/>
    <w:rsid w:val="009B1324"/>
    <w:rsid w:val="00A905AC"/>
    <w:rsid w:val="00AD53AF"/>
    <w:rsid w:val="00AD6E00"/>
    <w:rsid w:val="00AE2AB9"/>
    <w:rsid w:val="00B05D16"/>
    <w:rsid w:val="00B64AE2"/>
    <w:rsid w:val="00B70CD1"/>
    <w:rsid w:val="00B84848"/>
    <w:rsid w:val="00C05E90"/>
    <w:rsid w:val="00C4429A"/>
    <w:rsid w:val="00C5234A"/>
    <w:rsid w:val="00C53D10"/>
    <w:rsid w:val="00C555BB"/>
    <w:rsid w:val="00CB07E2"/>
    <w:rsid w:val="00CB6605"/>
    <w:rsid w:val="00D26F24"/>
    <w:rsid w:val="00D34160"/>
    <w:rsid w:val="00D67C50"/>
    <w:rsid w:val="00DA702D"/>
    <w:rsid w:val="00DD02D2"/>
    <w:rsid w:val="00E07D35"/>
    <w:rsid w:val="00E2743F"/>
    <w:rsid w:val="00E300BE"/>
    <w:rsid w:val="00E84953"/>
    <w:rsid w:val="00E93AF4"/>
    <w:rsid w:val="00EE681C"/>
    <w:rsid w:val="00F545F5"/>
    <w:rsid w:val="00F87166"/>
    <w:rsid w:val="00F91515"/>
    <w:rsid w:val="00FC4F3E"/>
    <w:rsid w:val="00FC530B"/>
    <w:rsid w:val="00FD6583"/>
    <w:rsid w:val="01D14551"/>
    <w:rsid w:val="01FD5CF1"/>
    <w:rsid w:val="034948B2"/>
    <w:rsid w:val="04F80729"/>
    <w:rsid w:val="06307751"/>
    <w:rsid w:val="070C644E"/>
    <w:rsid w:val="074F7577"/>
    <w:rsid w:val="097A41FD"/>
    <w:rsid w:val="0F282CC5"/>
    <w:rsid w:val="10092AC5"/>
    <w:rsid w:val="15336061"/>
    <w:rsid w:val="182E30F3"/>
    <w:rsid w:val="208E3B27"/>
    <w:rsid w:val="20C22F55"/>
    <w:rsid w:val="232F00DD"/>
    <w:rsid w:val="2D3A39CE"/>
    <w:rsid w:val="2FE645BD"/>
    <w:rsid w:val="31F61B0D"/>
    <w:rsid w:val="335E5280"/>
    <w:rsid w:val="34BA79CA"/>
    <w:rsid w:val="3642627B"/>
    <w:rsid w:val="36DF4368"/>
    <w:rsid w:val="3887368E"/>
    <w:rsid w:val="3AB52C3C"/>
    <w:rsid w:val="42ED2FB3"/>
    <w:rsid w:val="437F2DDD"/>
    <w:rsid w:val="439916FE"/>
    <w:rsid w:val="44E83CAB"/>
    <w:rsid w:val="45525434"/>
    <w:rsid w:val="46F00C05"/>
    <w:rsid w:val="4773097B"/>
    <w:rsid w:val="4823227C"/>
    <w:rsid w:val="485566E5"/>
    <w:rsid w:val="4D7943E3"/>
    <w:rsid w:val="52445541"/>
    <w:rsid w:val="54C836C1"/>
    <w:rsid w:val="54DD5388"/>
    <w:rsid w:val="55A91E4F"/>
    <w:rsid w:val="55EB6C18"/>
    <w:rsid w:val="5A49352C"/>
    <w:rsid w:val="5AD33AC5"/>
    <w:rsid w:val="5D77631A"/>
    <w:rsid w:val="5F451D15"/>
    <w:rsid w:val="62E66A23"/>
    <w:rsid w:val="667965AD"/>
    <w:rsid w:val="67042806"/>
    <w:rsid w:val="67220062"/>
    <w:rsid w:val="6C262704"/>
    <w:rsid w:val="6D2029C7"/>
    <w:rsid w:val="6D2842C8"/>
    <w:rsid w:val="70EA0078"/>
    <w:rsid w:val="73777E96"/>
    <w:rsid w:val="74661B2F"/>
    <w:rsid w:val="74BB5FFB"/>
    <w:rsid w:val="74F5796F"/>
    <w:rsid w:val="755B6D2B"/>
    <w:rsid w:val="76FE05CD"/>
    <w:rsid w:val="77E90A6E"/>
    <w:rsid w:val="7A541E1C"/>
    <w:rsid w:val="7AB13162"/>
    <w:rsid w:val="7C9F7014"/>
    <w:rsid w:val="7D5C6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unhideWhenUsed/>
    <w:qFormat/>
    <w:uiPriority w:val="1"/>
  </w:style>
  <w:style w:type="table" w:default="1" w:styleId="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paragraph" w:customStyle="1" w:styleId="10">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1">
    <w:name w:val="List Paragraph"/>
    <w:basedOn w:val="1"/>
    <w:qFormat/>
    <w:uiPriority w:val="99"/>
    <w:pPr>
      <w:ind w:firstLine="420" w:firstLineChars="200"/>
    </w:pPr>
  </w:style>
  <w:style w:type="character" w:customStyle="1" w:styleId="12">
    <w:name w:val="标题 1 字符"/>
    <w:basedOn w:val="7"/>
    <w:link w:val="2"/>
    <w:qFormat/>
    <w:uiPriority w:val="0"/>
    <w:rPr>
      <w:rFonts w:hint="eastAsia" w:ascii="仿宋_GB2312" w:eastAsia="仿宋_GB2312" w:cs="仿宋_GB2312"/>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1502</Words>
  <Characters>1573</Characters>
  <Lines>10</Lines>
  <Paragraphs>2</Paragraphs>
  <TotalTime>3</TotalTime>
  <ScaleCrop>false</ScaleCrop>
  <LinksUpToDate>false</LinksUpToDate>
  <CharactersWithSpaces>1601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2023-08-08T07:30:00Z</dcterms:created>
  <dc:creator>Administrator</dc:creator>
  <cp:lastModifiedBy>Administrator</cp:lastModifiedBy>
  <cp:lastPrinted>2024-09-29T01:37:00Z</cp:lastPrinted>
  <dcterms:modified xsi:type="dcterms:W3CDTF">2026-04-21T06:24:28Z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2358EB9B09164A52999EAADD46285719</vt:lpwstr>
  </property>
  <property fmtid="{D5CDD505-2E9C-101B-9397-08002B2CF9AE}" pid="4" name="KSOTemplateDocerSaveRecord">
    <vt:lpwstr>eyJoZGlkIjoiYjQ0ODE4ZmIyZjEyZWUwYzEzMjRjMGJiZjI1OWQ0MGEifQ==</vt:lpwstr>
  </property>
</Properties>
</file>