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center"/>
        <w:rPr>
          <w:rFonts w:ascii="Times New Roman" w:hAnsi="Times New Roman" w:eastAsia="方正小标宋简体"/>
          <w:color w:val="000000"/>
          <w:sz w:val="32"/>
          <w:szCs w:val="32"/>
        </w:rPr>
      </w:pPr>
      <w:r>
        <w:rPr>
          <w:rFonts w:hint="eastAsia" w:ascii="Times New Roman" w:hAnsi="Times New Roman" w:eastAsia="方正小标宋简体"/>
          <w:color w:val="000000"/>
          <w:sz w:val="32"/>
          <w:szCs w:val="32"/>
          <w:lang w:val="en-US" w:eastAsia="zh-CN"/>
        </w:rPr>
        <w:t>广州市花都区市场监督管理局</w:t>
      </w:r>
      <w:r>
        <w:rPr>
          <w:rFonts w:hint="eastAsia" w:ascii="Times New Roman" w:hAnsi="Times New Roman" w:eastAsia="方正小标宋简体"/>
          <w:color w:val="000000"/>
          <w:sz w:val="32"/>
          <w:szCs w:val="32"/>
        </w:rPr>
        <w:t>商用燃气灶</w:t>
      </w:r>
      <w:r>
        <w:rPr>
          <w:rFonts w:ascii="Times New Roman" w:hAnsi="Times New Roman" w:eastAsia="方正小标宋简体"/>
          <w:color w:val="000000"/>
          <w:sz w:val="32"/>
          <w:szCs w:val="32"/>
        </w:rPr>
        <w:t>产品质量监督抽查实施细则（202</w:t>
      </w:r>
      <w:r>
        <w:rPr>
          <w:rFonts w:hint="eastAsia" w:ascii="Times New Roman" w:hAnsi="Times New Roman" w:eastAsia="方正小标宋简体"/>
          <w:color w:val="000000"/>
          <w:sz w:val="32"/>
          <w:szCs w:val="32"/>
          <w:lang w:val="en-US" w:eastAsia="zh-CN"/>
        </w:rPr>
        <w:t>5</w:t>
      </w:r>
      <w:r>
        <w:rPr>
          <w:rFonts w:hint="eastAsia" w:ascii="Times New Roman" w:hAnsi="Times New Roman" w:eastAsia="方正小标宋简体"/>
          <w:color w:val="000000"/>
          <w:sz w:val="32"/>
          <w:szCs w:val="32"/>
          <w:lang w:eastAsia="zh-CN"/>
        </w:rPr>
        <w:t>版</w:t>
      </w:r>
      <w:r>
        <w:rPr>
          <w:rFonts w:ascii="Times New Roman" w:hAnsi="Times New Roman" w:eastAsia="方正小标宋简体"/>
          <w:color w:val="000000"/>
          <w:sz w:val="32"/>
          <w:szCs w:val="32"/>
        </w:rPr>
        <w:t>）</w:t>
      </w:r>
    </w:p>
    <w:p>
      <w:pPr>
        <w:snapToGrid w:val="0"/>
        <w:spacing w:line="440" w:lineRule="exact"/>
        <w:rPr>
          <w:rFonts w:ascii="Times New Roman" w:hAnsi="Times New Roman" w:eastAsia="黑体"/>
          <w:color w:val="000000"/>
          <w:szCs w:val="21"/>
        </w:rPr>
      </w:pPr>
    </w:p>
    <w:p>
      <w:pPr>
        <w:snapToGrid w:val="0"/>
        <w:spacing w:line="440" w:lineRule="exact"/>
        <w:rPr>
          <w:rFonts w:ascii="Times New Roman" w:hAnsi="Times New Roman" w:eastAsia="黑体"/>
          <w:color w:val="000000"/>
          <w:szCs w:val="21"/>
        </w:rPr>
      </w:pPr>
      <w:r>
        <w:rPr>
          <w:rFonts w:ascii="Times New Roman" w:hAnsi="Times New Roman" w:eastAsia="黑体"/>
          <w:color w:val="000000"/>
          <w:szCs w:val="21"/>
        </w:rPr>
        <w:t>1 抽样方法</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以随机抽样的方式在被抽样生产者、销售者的待销产品中抽取。</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随机数一般可使用随机数表等方法产生。</w:t>
      </w:r>
    </w:p>
    <w:p>
      <w:pPr>
        <w:adjustRightInd w:val="0"/>
        <w:snapToGrid w:val="0"/>
        <w:spacing w:line="440" w:lineRule="exact"/>
        <w:ind w:firstLine="420" w:firstLineChars="200"/>
        <w:rPr>
          <w:rFonts w:ascii="Times New Roman" w:hAnsi="Times New Roman"/>
          <w:szCs w:val="21"/>
        </w:rPr>
      </w:pPr>
      <w:r>
        <w:rPr>
          <w:rFonts w:ascii="Times New Roman" w:hAnsi="Times New Roman"/>
          <w:color w:val="auto"/>
          <w:szCs w:val="21"/>
        </w:rPr>
        <w:t>每</w:t>
      </w:r>
      <w:r>
        <w:rPr>
          <w:rFonts w:hint="eastAsia" w:ascii="Times New Roman" w:hAnsi="Times New Roman"/>
          <w:color w:val="auto"/>
          <w:szCs w:val="21"/>
          <w:lang w:val="en-US" w:eastAsia="zh-CN"/>
        </w:rPr>
        <w:t>一抽检</w:t>
      </w:r>
      <w:r>
        <w:rPr>
          <w:rFonts w:ascii="Times New Roman" w:hAnsi="Times New Roman"/>
          <w:color w:val="auto"/>
          <w:szCs w:val="21"/>
        </w:rPr>
        <w:t>批次</w:t>
      </w:r>
      <w:r>
        <w:rPr>
          <w:rFonts w:ascii="Times New Roman" w:hAnsi="Times New Roman"/>
          <w:szCs w:val="21"/>
        </w:rPr>
        <w:t>产品抽取样品2件，其中1件作为检验样品，1件作为备用样品</w:t>
      </w:r>
      <w:bookmarkStart w:id="0" w:name="_GoBack"/>
      <w:bookmarkEnd w:id="0"/>
      <w:r>
        <w:rPr>
          <w:rFonts w:ascii="Times New Roman" w:hAnsi="Times New Roman"/>
          <w:szCs w:val="21"/>
        </w:rPr>
        <w:t>。</w:t>
      </w:r>
    </w:p>
    <w:p>
      <w:pPr>
        <w:snapToGrid w:val="0"/>
        <w:spacing w:line="440" w:lineRule="exact"/>
        <w:ind w:firstLine="420" w:firstLineChars="200"/>
        <w:rPr>
          <w:rFonts w:ascii="Times New Roman" w:hAnsi="Times New Roman"/>
          <w:color w:val="000000"/>
          <w:szCs w:val="21"/>
        </w:rPr>
      </w:pPr>
    </w:p>
    <w:p>
      <w:pPr>
        <w:snapToGrid w:val="0"/>
        <w:spacing w:line="440" w:lineRule="exact"/>
        <w:rPr>
          <w:rFonts w:ascii="Times New Roman" w:hAnsi="Times New Roman" w:eastAsia="黑体"/>
          <w:color w:val="000000"/>
          <w:szCs w:val="21"/>
        </w:rPr>
      </w:pPr>
      <w:r>
        <w:rPr>
          <w:rFonts w:ascii="Times New Roman" w:hAnsi="Times New Roman" w:eastAsia="黑体"/>
          <w:color w:val="000000"/>
          <w:szCs w:val="21"/>
        </w:rPr>
        <w:t>2 检验依据</w:t>
      </w:r>
    </w:p>
    <w:tbl>
      <w:tblPr>
        <w:tblStyle w:val="12"/>
        <w:tblW w:w="9054" w:type="dxa"/>
        <w:tblInd w:w="0" w:type="dxa"/>
        <w:tblLayout w:type="fixed"/>
        <w:tblCellMar>
          <w:top w:w="0" w:type="dxa"/>
          <w:left w:w="0" w:type="dxa"/>
          <w:bottom w:w="0" w:type="dxa"/>
          <w:right w:w="0" w:type="dxa"/>
        </w:tblCellMar>
      </w:tblPr>
      <w:tblGrid>
        <w:gridCol w:w="656"/>
        <w:gridCol w:w="4459"/>
        <w:gridCol w:w="2000"/>
        <w:gridCol w:w="1939"/>
      </w:tblGrid>
      <w:tr>
        <w:tblPrEx>
          <w:tblCellMar>
            <w:top w:w="0" w:type="dxa"/>
            <w:left w:w="0" w:type="dxa"/>
            <w:bottom w:w="0" w:type="dxa"/>
            <w:right w:w="0" w:type="dxa"/>
          </w:tblCellMar>
        </w:tblPrEx>
        <w:trPr>
          <w:trHeight w:val="924" w:hRule="atLeast"/>
        </w:trPr>
        <w:tc>
          <w:tcPr>
            <w:tcW w:w="656" w:type="dxa"/>
            <w:tcBorders>
              <w:top w:val="single" w:color="000000" w:sz="8" w:space="0"/>
              <w:left w:val="single" w:color="000000" w:sz="8" w:space="0"/>
              <w:bottom w:val="nil"/>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both"/>
              <w:textAlignment w:val="baseline"/>
              <w:rPr>
                <w:rFonts w:ascii="宋体" w:hAnsi="宋体" w:cs="宋体"/>
                <w:sz w:val="21"/>
                <w:szCs w:val="21"/>
              </w:rPr>
            </w:pPr>
            <w:r>
              <w:rPr>
                <w:rFonts w:hint="eastAsia" w:ascii="宋体" w:hAnsi="宋体" w:cs="宋体"/>
                <w:sz w:val="21"/>
                <w:szCs w:val="21"/>
              </w:rPr>
              <w:t>序号</w:t>
            </w:r>
          </w:p>
        </w:tc>
        <w:tc>
          <w:tcPr>
            <w:tcW w:w="4459" w:type="dxa"/>
            <w:tcBorders>
              <w:top w:val="single" w:color="000000" w:sz="8" w:space="0"/>
              <w:left w:val="nil"/>
              <w:bottom w:val="nil"/>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cs="宋体"/>
                <w:sz w:val="21"/>
                <w:szCs w:val="21"/>
              </w:rPr>
            </w:pPr>
            <w:r>
              <w:rPr>
                <w:rFonts w:hint="eastAsia" w:ascii="宋体" w:hAnsi="宋体" w:cs="宋体"/>
                <w:sz w:val="21"/>
                <w:szCs w:val="21"/>
              </w:rPr>
              <w:t>检验项目</w:t>
            </w:r>
          </w:p>
        </w:tc>
        <w:tc>
          <w:tcPr>
            <w:tcW w:w="2000" w:type="dxa"/>
            <w:tcBorders>
              <w:top w:val="single" w:color="000000" w:sz="8" w:space="0"/>
              <w:left w:val="nil"/>
              <w:bottom w:val="nil"/>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sz w:val="21"/>
                <w:szCs w:val="21"/>
                <w:lang w:eastAsia="zh-CN"/>
              </w:rPr>
            </w:pPr>
            <w:r>
              <w:rPr>
                <w:rFonts w:hint="eastAsia" w:ascii="宋体" w:hAnsi="宋体" w:cs="宋体"/>
                <w:sz w:val="21"/>
                <w:szCs w:val="21"/>
              </w:rPr>
              <w:t>检验</w:t>
            </w:r>
            <w:r>
              <w:rPr>
                <w:rFonts w:hint="eastAsia" w:ascii="宋体" w:hAnsi="宋体" w:cs="宋体"/>
                <w:sz w:val="21"/>
                <w:szCs w:val="21"/>
                <w:lang w:eastAsia="zh-CN"/>
              </w:rPr>
              <w:t>依据</w:t>
            </w:r>
          </w:p>
        </w:tc>
        <w:tc>
          <w:tcPr>
            <w:tcW w:w="1939" w:type="dxa"/>
            <w:tcBorders>
              <w:top w:val="single" w:color="000000" w:sz="8" w:space="0"/>
              <w:left w:val="nil"/>
              <w:bottom w:val="nil"/>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kern w:val="0"/>
                <w:sz w:val="21"/>
                <w:szCs w:val="21"/>
                <w:lang w:val="en-US" w:eastAsia="zh-CN" w:bidi="ar-SA"/>
              </w:rPr>
            </w:pPr>
            <w:r>
              <w:rPr>
                <w:rFonts w:hint="eastAsia" w:ascii="宋体" w:hAnsi="宋体" w:cs="宋体"/>
                <w:sz w:val="21"/>
                <w:szCs w:val="21"/>
              </w:rPr>
              <w:t>检验方法</w:t>
            </w:r>
          </w:p>
        </w:tc>
      </w:tr>
      <w:tr>
        <w:tblPrEx>
          <w:tblCellMar>
            <w:top w:w="0" w:type="dxa"/>
            <w:left w:w="0" w:type="dxa"/>
            <w:bottom w:w="0" w:type="dxa"/>
            <w:right w:w="0" w:type="dxa"/>
          </w:tblCellMar>
        </w:tblPrEx>
        <w:tc>
          <w:tcPr>
            <w:tcW w:w="656" w:type="dxa"/>
            <w:tcBorders>
              <w:top w:val="single" w:color="auto" w:sz="4" w:space="0"/>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10"/>
              <w:widowControl/>
              <w:spacing w:beforeAutospacing="0" w:afterAutospacing="0" w:line="26" w:lineRule="atLeast"/>
              <w:jc w:val="center"/>
              <w:textAlignment w:val="baseline"/>
              <w:rPr>
                <w:rFonts w:ascii="宋体" w:hAnsi="宋体" w:cs="宋体"/>
                <w:sz w:val="21"/>
                <w:szCs w:val="21"/>
              </w:rPr>
            </w:pPr>
            <w:r>
              <w:rPr>
                <w:rFonts w:hint="eastAsia" w:ascii="宋体" w:hAnsi="宋体" w:cs="宋体"/>
                <w:sz w:val="21"/>
                <w:szCs w:val="21"/>
              </w:rPr>
              <w:t>1</w:t>
            </w:r>
          </w:p>
        </w:tc>
        <w:tc>
          <w:tcPr>
            <w:tcW w:w="4459" w:type="dxa"/>
            <w:tcBorders>
              <w:top w:val="single" w:color="auto" w:sz="4" w:space="0"/>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sz w:val="21"/>
                <w:szCs w:val="21"/>
                <w:lang w:eastAsia="zh-CN"/>
              </w:rPr>
            </w:pPr>
            <w:r>
              <w:rPr>
                <w:rFonts w:hint="eastAsia" w:ascii="宋体" w:hAnsi="宋体" w:cs="宋体"/>
                <w:sz w:val="21"/>
                <w:szCs w:val="21"/>
              </w:rPr>
              <w:t>通用结构</w:t>
            </w:r>
            <w:r>
              <w:rPr>
                <w:rFonts w:hint="eastAsia" w:ascii="宋体" w:hAnsi="宋体" w:cs="宋体"/>
                <w:sz w:val="21"/>
                <w:szCs w:val="21"/>
                <w:lang w:eastAsia="zh-CN"/>
              </w:rPr>
              <w:t>（一般要求、燃气管路）</w:t>
            </w:r>
          </w:p>
        </w:tc>
        <w:tc>
          <w:tcPr>
            <w:tcW w:w="2000" w:type="dxa"/>
            <w:tcBorders>
              <w:top w:val="single" w:color="auto" w:sz="4" w:space="0"/>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cs="宋体"/>
                <w:sz w:val="21"/>
                <w:szCs w:val="21"/>
              </w:rPr>
            </w:pPr>
            <w:r>
              <w:rPr>
                <w:rFonts w:hint="eastAsia" w:ascii="宋体" w:hAnsi="宋体" w:cs="宋体"/>
                <w:sz w:val="21"/>
                <w:szCs w:val="21"/>
              </w:rPr>
              <w:t>GB 35848—2024</w:t>
            </w:r>
          </w:p>
        </w:tc>
        <w:tc>
          <w:tcPr>
            <w:tcW w:w="1939" w:type="dxa"/>
            <w:tcBorders>
              <w:top w:val="single" w:color="auto" w:sz="4" w:space="0"/>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kern w:val="0"/>
                <w:sz w:val="21"/>
                <w:szCs w:val="21"/>
                <w:lang w:val="en-US" w:eastAsia="zh-CN" w:bidi="ar-SA"/>
              </w:rPr>
            </w:pPr>
            <w:r>
              <w:rPr>
                <w:rFonts w:hint="eastAsia" w:ascii="宋体" w:hAnsi="宋体" w:cs="宋体"/>
                <w:sz w:val="21"/>
                <w:szCs w:val="21"/>
              </w:rPr>
              <w:t>GB 35848—2024</w:t>
            </w:r>
          </w:p>
        </w:tc>
      </w:tr>
      <w:tr>
        <w:tblPrEx>
          <w:tblCellMar>
            <w:top w:w="0" w:type="dxa"/>
            <w:left w:w="0" w:type="dxa"/>
            <w:bottom w:w="0" w:type="dxa"/>
            <w:right w:w="0" w:type="dxa"/>
          </w:tblCellMar>
        </w:tblPrEx>
        <w:tc>
          <w:tcPr>
            <w:tcW w:w="656" w:type="dxa"/>
            <w:tcBorders>
              <w:top w:val="single" w:color="auto" w:sz="4" w:space="0"/>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kern w:val="0"/>
                <w:sz w:val="21"/>
                <w:szCs w:val="21"/>
                <w:lang w:val="en-US" w:eastAsia="zh-CN" w:bidi="ar-SA"/>
              </w:rPr>
            </w:pPr>
            <w:r>
              <w:rPr>
                <w:rFonts w:hint="eastAsia" w:ascii="宋体" w:hAnsi="宋体" w:cs="宋体"/>
                <w:sz w:val="21"/>
                <w:szCs w:val="21"/>
              </w:rPr>
              <w:t>2</w:t>
            </w:r>
          </w:p>
        </w:tc>
        <w:tc>
          <w:tcPr>
            <w:tcW w:w="4459" w:type="dxa"/>
            <w:tcBorders>
              <w:top w:val="single" w:color="auto" w:sz="4" w:space="0"/>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cs="宋体"/>
                <w:sz w:val="21"/>
                <w:szCs w:val="21"/>
              </w:rPr>
            </w:pPr>
            <w:r>
              <w:rPr>
                <w:rFonts w:hint="eastAsia" w:ascii="宋体" w:hAnsi="宋体" w:cs="宋体"/>
                <w:sz w:val="21"/>
                <w:szCs w:val="21"/>
              </w:rPr>
              <w:t>燃气系统零部件</w:t>
            </w:r>
            <w:r>
              <w:rPr>
                <w:rFonts w:hint="eastAsia" w:ascii="宋体" w:hAnsi="宋体" w:cs="宋体"/>
                <w:sz w:val="21"/>
                <w:szCs w:val="21"/>
                <w:lang w:eastAsia="zh-CN"/>
              </w:rPr>
              <w:t>（一般要求）</w:t>
            </w:r>
          </w:p>
        </w:tc>
        <w:tc>
          <w:tcPr>
            <w:tcW w:w="2000" w:type="dxa"/>
            <w:tcBorders>
              <w:top w:val="single" w:color="auto" w:sz="4" w:space="0"/>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cs="宋体"/>
                <w:sz w:val="21"/>
                <w:szCs w:val="21"/>
              </w:rPr>
            </w:pPr>
            <w:r>
              <w:rPr>
                <w:rFonts w:hint="eastAsia" w:ascii="宋体" w:hAnsi="宋体" w:cs="宋体"/>
                <w:sz w:val="21"/>
                <w:szCs w:val="21"/>
              </w:rPr>
              <w:t>GB 35848—2024</w:t>
            </w:r>
          </w:p>
        </w:tc>
        <w:tc>
          <w:tcPr>
            <w:tcW w:w="1939" w:type="dxa"/>
            <w:tcBorders>
              <w:top w:val="single" w:color="auto" w:sz="4" w:space="0"/>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kern w:val="0"/>
                <w:sz w:val="21"/>
                <w:szCs w:val="21"/>
                <w:lang w:val="en-US" w:eastAsia="zh-CN" w:bidi="ar-SA"/>
              </w:rPr>
            </w:pPr>
            <w:r>
              <w:rPr>
                <w:rFonts w:hint="eastAsia" w:ascii="宋体" w:hAnsi="宋体" w:cs="宋体"/>
                <w:sz w:val="21"/>
                <w:szCs w:val="21"/>
              </w:rPr>
              <w:t>GB 35848—2024</w:t>
            </w:r>
          </w:p>
        </w:tc>
      </w:tr>
      <w:tr>
        <w:tblPrEx>
          <w:tblCellMar>
            <w:top w:w="0" w:type="dxa"/>
            <w:left w:w="0" w:type="dxa"/>
            <w:bottom w:w="0" w:type="dxa"/>
            <w:right w:w="0" w:type="dxa"/>
          </w:tblCellMar>
        </w:tblPrEx>
        <w:tc>
          <w:tcPr>
            <w:tcW w:w="656"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3</w:t>
            </w:r>
          </w:p>
        </w:tc>
        <w:tc>
          <w:tcPr>
            <w:tcW w:w="4459"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燃气系统密封性</w:t>
            </w:r>
          </w:p>
        </w:tc>
        <w:tc>
          <w:tcPr>
            <w:tcW w:w="2000"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GB 35848—2024</w:t>
            </w:r>
          </w:p>
        </w:tc>
        <w:tc>
          <w:tcPr>
            <w:tcW w:w="1939"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kern w:val="0"/>
                <w:sz w:val="21"/>
                <w:szCs w:val="21"/>
                <w:lang w:val="en-US" w:eastAsia="zh-CN" w:bidi="ar-SA"/>
              </w:rPr>
            </w:pPr>
            <w:r>
              <w:rPr>
                <w:rFonts w:hint="eastAsia" w:ascii="宋体" w:hAnsi="宋体" w:cs="宋体"/>
                <w:sz w:val="21"/>
                <w:szCs w:val="21"/>
              </w:rPr>
              <w:t>GB 35848—2024</w:t>
            </w:r>
          </w:p>
        </w:tc>
      </w:tr>
      <w:tr>
        <w:tblPrEx>
          <w:tblCellMar>
            <w:top w:w="0" w:type="dxa"/>
            <w:left w:w="0" w:type="dxa"/>
            <w:bottom w:w="0" w:type="dxa"/>
            <w:right w:w="0" w:type="dxa"/>
          </w:tblCellMar>
        </w:tblPrEx>
        <w:tc>
          <w:tcPr>
            <w:tcW w:w="656"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4</w:t>
            </w:r>
          </w:p>
        </w:tc>
        <w:tc>
          <w:tcPr>
            <w:tcW w:w="4459"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热负荷准确度</w:t>
            </w:r>
          </w:p>
        </w:tc>
        <w:tc>
          <w:tcPr>
            <w:tcW w:w="2000"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GB 35848—2024</w:t>
            </w:r>
          </w:p>
        </w:tc>
        <w:tc>
          <w:tcPr>
            <w:tcW w:w="1939"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kern w:val="0"/>
                <w:sz w:val="21"/>
                <w:szCs w:val="21"/>
                <w:lang w:val="en-US" w:eastAsia="zh-CN" w:bidi="ar-SA"/>
              </w:rPr>
            </w:pPr>
            <w:r>
              <w:rPr>
                <w:rFonts w:hint="eastAsia" w:ascii="宋体" w:hAnsi="宋体" w:cs="宋体"/>
                <w:sz w:val="21"/>
                <w:szCs w:val="21"/>
              </w:rPr>
              <w:t>GB 35848—2024</w:t>
            </w:r>
          </w:p>
        </w:tc>
      </w:tr>
      <w:tr>
        <w:tblPrEx>
          <w:tblCellMar>
            <w:top w:w="0" w:type="dxa"/>
            <w:left w:w="0" w:type="dxa"/>
            <w:bottom w:w="0" w:type="dxa"/>
            <w:right w:w="0" w:type="dxa"/>
          </w:tblCellMar>
        </w:tblPrEx>
        <w:tc>
          <w:tcPr>
            <w:tcW w:w="656"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5</w:t>
            </w:r>
          </w:p>
        </w:tc>
        <w:tc>
          <w:tcPr>
            <w:tcW w:w="4459"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kern w:val="0"/>
                <w:sz w:val="21"/>
                <w:szCs w:val="21"/>
                <w:lang w:val="en-US" w:eastAsia="zh-CN" w:bidi="ar-SA"/>
              </w:rPr>
            </w:pPr>
            <w:r>
              <w:rPr>
                <w:rFonts w:hint="eastAsia" w:ascii="宋体" w:hAnsi="宋体" w:cs="宋体"/>
                <w:sz w:val="21"/>
                <w:szCs w:val="21"/>
              </w:rPr>
              <w:t>燃烧工况</w:t>
            </w:r>
            <w:r>
              <w:rPr>
                <w:rFonts w:hint="eastAsia" w:ascii="宋体" w:hAnsi="宋体" w:cs="宋体"/>
                <w:sz w:val="21"/>
                <w:szCs w:val="21"/>
                <w:lang w:eastAsia="zh-CN"/>
              </w:rPr>
              <w:t>（主燃烧器火焰稳定性、常明火点火燃烧器火焰稳定性、干烟气中CO）</w:t>
            </w:r>
          </w:p>
        </w:tc>
        <w:tc>
          <w:tcPr>
            <w:tcW w:w="2000"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GB 35848—2024</w:t>
            </w:r>
          </w:p>
        </w:tc>
        <w:tc>
          <w:tcPr>
            <w:tcW w:w="1939"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kern w:val="0"/>
                <w:sz w:val="21"/>
                <w:szCs w:val="21"/>
                <w:lang w:val="en-US" w:eastAsia="zh-CN" w:bidi="ar-SA"/>
              </w:rPr>
            </w:pPr>
            <w:r>
              <w:rPr>
                <w:rFonts w:hint="eastAsia" w:ascii="宋体" w:hAnsi="宋体" w:cs="宋体"/>
                <w:sz w:val="21"/>
                <w:szCs w:val="21"/>
              </w:rPr>
              <w:t>GB 35848—2024</w:t>
            </w:r>
          </w:p>
        </w:tc>
      </w:tr>
      <w:tr>
        <w:tblPrEx>
          <w:tblCellMar>
            <w:top w:w="0" w:type="dxa"/>
            <w:left w:w="0" w:type="dxa"/>
            <w:bottom w:w="0" w:type="dxa"/>
            <w:right w:w="0" w:type="dxa"/>
          </w:tblCellMar>
        </w:tblPrEx>
        <w:tc>
          <w:tcPr>
            <w:tcW w:w="656"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6</w:t>
            </w:r>
          </w:p>
        </w:tc>
        <w:tc>
          <w:tcPr>
            <w:tcW w:w="4459"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kern w:val="0"/>
                <w:sz w:val="21"/>
                <w:szCs w:val="21"/>
                <w:lang w:val="en-US" w:eastAsia="zh-CN" w:bidi="ar-SA"/>
              </w:rPr>
            </w:pPr>
            <w:r>
              <w:rPr>
                <w:rFonts w:hint="eastAsia" w:ascii="宋体" w:hAnsi="宋体" w:cs="宋体"/>
                <w:sz w:val="21"/>
                <w:szCs w:val="21"/>
              </w:rPr>
              <w:t>熄火保护装置</w:t>
            </w:r>
          </w:p>
        </w:tc>
        <w:tc>
          <w:tcPr>
            <w:tcW w:w="2000"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GB 35848—2024</w:t>
            </w:r>
          </w:p>
        </w:tc>
        <w:tc>
          <w:tcPr>
            <w:tcW w:w="1939"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kern w:val="0"/>
                <w:sz w:val="21"/>
                <w:szCs w:val="21"/>
                <w:lang w:val="en-US" w:eastAsia="zh-CN" w:bidi="ar-SA"/>
              </w:rPr>
            </w:pPr>
            <w:r>
              <w:rPr>
                <w:rFonts w:hint="eastAsia" w:ascii="宋体" w:hAnsi="宋体" w:cs="宋体"/>
                <w:sz w:val="21"/>
                <w:szCs w:val="21"/>
              </w:rPr>
              <w:t>GB 35848—2024</w:t>
            </w:r>
          </w:p>
        </w:tc>
      </w:tr>
      <w:tr>
        <w:tblPrEx>
          <w:tblCellMar>
            <w:top w:w="0" w:type="dxa"/>
            <w:left w:w="0" w:type="dxa"/>
            <w:bottom w:w="0" w:type="dxa"/>
            <w:right w:w="0" w:type="dxa"/>
          </w:tblCellMar>
        </w:tblPrEx>
        <w:tc>
          <w:tcPr>
            <w:tcW w:w="656"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7</w:t>
            </w:r>
          </w:p>
        </w:tc>
        <w:tc>
          <w:tcPr>
            <w:tcW w:w="4459"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能源合理利用</w:t>
            </w:r>
          </w:p>
        </w:tc>
        <w:tc>
          <w:tcPr>
            <w:tcW w:w="2000"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GB 35848—2024</w:t>
            </w:r>
          </w:p>
        </w:tc>
        <w:tc>
          <w:tcPr>
            <w:tcW w:w="1939"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kern w:val="0"/>
                <w:sz w:val="21"/>
                <w:szCs w:val="21"/>
                <w:lang w:val="en-US" w:eastAsia="zh-CN" w:bidi="ar-SA"/>
              </w:rPr>
            </w:pPr>
            <w:r>
              <w:rPr>
                <w:rFonts w:hint="eastAsia" w:ascii="宋体" w:hAnsi="宋体" w:cs="宋体"/>
                <w:sz w:val="21"/>
                <w:szCs w:val="21"/>
              </w:rPr>
              <w:t>GB 35848—2024</w:t>
            </w:r>
          </w:p>
        </w:tc>
      </w:tr>
      <w:tr>
        <w:tblPrEx>
          <w:tblCellMar>
            <w:top w:w="0" w:type="dxa"/>
            <w:left w:w="0" w:type="dxa"/>
            <w:bottom w:w="0" w:type="dxa"/>
            <w:right w:w="0" w:type="dxa"/>
          </w:tblCellMar>
        </w:tblPrEx>
        <w:tc>
          <w:tcPr>
            <w:tcW w:w="656"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8</w:t>
            </w:r>
          </w:p>
        </w:tc>
        <w:tc>
          <w:tcPr>
            <w:tcW w:w="4459"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电气性能</w:t>
            </w:r>
            <w:r>
              <w:rPr>
                <w:rFonts w:hint="eastAsia" w:ascii="宋体" w:hAnsi="宋体" w:cs="宋体"/>
                <w:sz w:val="21"/>
                <w:szCs w:val="21"/>
                <w:lang w:eastAsia="zh-CN"/>
              </w:rPr>
              <w:t>（工作温度下的泄漏电流和电气强度、接地措施）</w:t>
            </w:r>
          </w:p>
        </w:tc>
        <w:tc>
          <w:tcPr>
            <w:tcW w:w="2000"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ascii="宋体" w:hAnsi="宋体" w:eastAsia="宋体" w:cs="宋体"/>
                <w:kern w:val="0"/>
                <w:sz w:val="21"/>
                <w:szCs w:val="21"/>
                <w:lang w:val="en-US" w:eastAsia="zh-CN" w:bidi="ar-SA"/>
              </w:rPr>
            </w:pPr>
            <w:r>
              <w:rPr>
                <w:rFonts w:hint="eastAsia" w:ascii="宋体" w:hAnsi="宋体" w:cs="宋体"/>
                <w:sz w:val="21"/>
                <w:szCs w:val="21"/>
              </w:rPr>
              <w:t>GB 35848—2024</w:t>
            </w:r>
          </w:p>
        </w:tc>
        <w:tc>
          <w:tcPr>
            <w:tcW w:w="1939" w:type="dxa"/>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kern w:val="0"/>
                <w:sz w:val="21"/>
                <w:szCs w:val="21"/>
                <w:lang w:val="en-US" w:eastAsia="zh-CN" w:bidi="ar-SA"/>
              </w:rPr>
            </w:pPr>
            <w:r>
              <w:rPr>
                <w:rFonts w:hint="eastAsia" w:ascii="宋体" w:hAnsi="宋体" w:cs="宋体"/>
                <w:sz w:val="21"/>
                <w:szCs w:val="21"/>
              </w:rPr>
              <w:t>GB 35848—2024</w:t>
            </w:r>
          </w:p>
        </w:tc>
      </w:tr>
    </w:tbl>
    <w:p>
      <w:pPr>
        <w:snapToGrid w:val="0"/>
        <w:spacing w:line="440" w:lineRule="exact"/>
        <w:rPr>
          <w:rFonts w:ascii="Times New Roman" w:hAnsi="Times New Roman" w:eastAsia="黑体"/>
          <w:color w:val="000000"/>
          <w:szCs w:val="21"/>
        </w:rPr>
      </w:pPr>
    </w:p>
    <w:p>
      <w:pPr>
        <w:snapToGrid w:val="0"/>
        <w:spacing w:line="440" w:lineRule="exact"/>
        <w:ind w:firstLine="420" w:firstLineChars="200"/>
        <w:rPr>
          <w:color w:val="000000"/>
          <w:szCs w:val="21"/>
        </w:rPr>
      </w:pPr>
      <w:r>
        <w:rPr>
          <w:rFonts w:hint="eastAsia"/>
          <w:color w:val="000000"/>
          <w:szCs w:val="21"/>
        </w:rPr>
        <w:t>注：凡是注日期的文件，其随后所有的修改单（不包括勘误的内容）或修订版不适用于本细则。凡是不注日期的文件，其最新版本适用于本细则。</w:t>
      </w:r>
    </w:p>
    <w:p>
      <w:pPr>
        <w:snapToGrid w:val="0"/>
        <w:spacing w:line="440" w:lineRule="exact"/>
        <w:rPr>
          <w:rFonts w:ascii="Times New Roman" w:hAnsi="Times New Roman" w:eastAsia="黑体" w:cs="Times New Roman"/>
          <w:color w:val="000000"/>
          <w:szCs w:val="21"/>
        </w:rPr>
      </w:pPr>
      <w:r>
        <w:rPr>
          <w:rFonts w:hint="eastAsia" w:ascii="Times New Roman" w:hAnsi="Times New Roman" w:eastAsia="黑体" w:cs="Times New Roman"/>
          <w:color w:val="000000"/>
          <w:szCs w:val="21"/>
        </w:rPr>
        <w:t>3.判定规则</w:t>
      </w:r>
    </w:p>
    <w:p>
      <w:pPr>
        <w:pStyle w:val="10"/>
        <w:widowControl/>
        <w:spacing w:beforeAutospacing="0" w:afterAutospacing="0" w:line="360" w:lineRule="auto"/>
        <w:jc w:val="both"/>
        <w:textAlignment w:val="baseline"/>
        <w:rPr>
          <w:rFonts w:ascii="宋体" w:hAnsi="宋体" w:eastAsia="宋体" w:cs="宋体"/>
          <w:sz w:val="21"/>
          <w:szCs w:val="21"/>
        </w:rPr>
      </w:pPr>
      <w:r>
        <w:rPr>
          <w:rFonts w:hint="eastAsia" w:ascii="宋体" w:hAnsi="宋体" w:eastAsia="宋体" w:cs="宋体"/>
          <w:color w:val="000000"/>
          <w:sz w:val="21"/>
          <w:szCs w:val="21"/>
        </w:rPr>
        <w:t>3.1依据标准</w:t>
      </w:r>
    </w:p>
    <w:p>
      <w:pPr>
        <w:pStyle w:val="10"/>
        <w:widowControl/>
        <w:spacing w:beforeAutospacing="0" w:afterAutospacing="0" w:line="360" w:lineRule="auto"/>
        <w:ind w:firstLine="420"/>
        <w:jc w:val="both"/>
        <w:textAlignment w:val="baseline"/>
        <w:rPr>
          <w:rFonts w:ascii="宋体" w:hAnsi="宋体" w:eastAsia="宋体" w:cs="宋体"/>
          <w:sz w:val="21"/>
          <w:szCs w:val="21"/>
        </w:rPr>
      </w:pPr>
      <w:r>
        <w:rPr>
          <w:rFonts w:hint="eastAsia" w:ascii="宋体" w:hAnsi="宋体" w:eastAsia="宋体" w:cs="宋体"/>
          <w:color w:val="000000"/>
          <w:sz w:val="21"/>
          <w:szCs w:val="21"/>
        </w:rPr>
        <w:t>GB 35848—2024 商用燃气燃烧器具</w:t>
      </w:r>
    </w:p>
    <w:p>
      <w:pPr>
        <w:pStyle w:val="10"/>
        <w:widowControl/>
        <w:spacing w:beforeAutospacing="0" w:afterAutospacing="0" w:line="360" w:lineRule="auto"/>
        <w:jc w:val="both"/>
        <w:textAlignment w:val="baseline"/>
        <w:rPr>
          <w:rFonts w:ascii="宋体" w:hAnsi="宋体" w:eastAsia="宋体" w:cs="宋体"/>
          <w:sz w:val="21"/>
          <w:szCs w:val="21"/>
        </w:rPr>
      </w:pPr>
      <w:r>
        <w:rPr>
          <w:rFonts w:hint="eastAsia" w:ascii="宋体" w:hAnsi="宋体" w:eastAsia="宋体" w:cs="宋体"/>
          <w:color w:val="000000"/>
          <w:sz w:val="21"/>
          <w:szCs w:val="21"/>
        </w:rPr>
        <w:t>　　GB 30531—2014 商用燃气灶具能效限定值及能效等级</w:t>
      </w:r>
    </w:p>
    <w:p>
      <w:pPr>
        <w:snapToGrid w:val="0"/>
        <w:spacing w:line="440" w:lineRule="exact"/>
        <w:ind w:firstLine="420" w:firstLineChars="200"/>
        <w:rPr>
          <w:kern w:val="0"/>
          <w:szCs w:val="21"/>
        </w:rPr>
      </w:pPr>
      <w:r>
        <w:rPr>
          <w:rFonts w:hint="eastAsia" w:ascii="宋体" w:hAnsi="宋体" w:eastAsia="宋体" w:cs="宋体"/>
          <w:color w:val="000000"/>
          <w:sz w:val="21"/>
          <w:szCs w:val="21"/>
        </w:rPr>
        <w:t>现行有效的企业标准、团体标准、地方标准及产品明示质量要求</w:t>
      </w:r>
    </w:p>
    <w:p>
      <w:pPr>
        <w:snapToGrid w:val="0"/>
        <w:spacing w:line="360" w:lineRule="auto"/>
        <w:rPr>
          <w:rFonts w:ascii="Times New Roman" w:hAnsi="Times New Roman"/>
          <w:color w:val="000000"/>
          <w:szCs w:val="21"/>
        </w:rPr>
      </w:pPr>
      <w:r>
        <w:rPr>
          <w:rFonts w:ascii="Times New Roman" w:hAnsi="Times New Roman"/>
          <w:color w:val="000000"/>
          <w:szCs w:val="21"/>
        </w:rPr>
        <w:t>3.2判定原则</w:t>
      </w:r>
    </w:p>
    <w:p>
      <w:pPr>
        <w:snapToGrid w:val="0"/>
        <w:spacing w:line="440" w:lineRule="exact"/>
        <w:ind w:firstLine="420" w:firstLineChars="200"/>
        <w:rPr>
          <w:szCs w:val="21"/>
        </w:rPr>
      </w:pPr>
      <w:r>
        <w:rPr>
          <w:szCs w:val="21"/>
        </w:rPr>
        <w:t>经检验，检验项目全部合格，判定为被抽查产品</w:t>
      </w:r>
      <w:r>
        <w:rPr>
          <w:rFonts w:hint="eastAsia"/>
          <w:szCs w:val="21"/>
        </w:rPr>
        <w:t>所检项目未发现不</w:t>
      </w:r>
      <w:r>
        <w:rPr>
          <w:szCs w:val="21"/>
        </w:rPr>
        <w:t>合格；检验项目中任一项或一项以上不合格，判定为被抽查产品不合格。</w:t>
      </w:r>
    </w:p>
    <w:p>
      <w:pPr>
        <w:snapToGrid w:val="0"/>
        <w:spacing w:line="440" w:lineRule="exact"/>
        <w:ind w:firstLine="417" w:firstLineChars="199"/>
        <w:rPr>
          <w:szCs w:val="21"/>
        </w:rPr>
      </w:pPr>
      <w:r>
        <w:rPr>
          <w:szCs w:val="21"/>
        </w:rPr>
        <w:t>若被检产品明示的质量要求高于本细则中检验项目依据的标准要求时，应按被检产品明示的质量要求判定。</w:t>
      </w:r>
    </w:p>
    <w:p>
      <w:pPr>
        <w:snapToGrid w:val="0"/>
        <w:spacing w:line="440" w:lineRule="exact"/>
        <w:ind w:firstLine="417" w:firstLineChars="199"/>
        <w:rPr>
          <w:szCs w:val="21"/>
        </w:rPr>
      </w:pPr>
      <w:r>
        <w:rPr>
          <w:szCs w:val="21"/>
        </w:rPr>
        <w:t>若被检产品明示的质量要求低于本细则中检验项目依据的强制性标准要求时，应按照强制性标准要求判定。</w:t>
      </w:r>
    </w:p>
    <w:p>
      <w:pPr>
        <w:snapToGrid w:val="0"/>
        <w:spacing w:line="440" w:lineRule="exact"/>
        <w:ind w:firstLine="417" w:firstLineChars="199"/>
        <w:rPr>
          <w:szCs w:val="21"/>
        </w:rPr>
      </w:pPr>
      <w:r>
        <w:rPr>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szCs w:val="21"/>
        </w:rPr>
      </w:pPr>
      <w:r>
        <w:rPr>
          <w:szCs w:val="21"/>
        </w:rPr>
        <w:t>若被检产品明示的质量要求缺少本细则中检验项目依据的强制性标准要求时，应按照强制性标准要求判定。</w:t>
      </w:r>
    </w:p>
    <w:p>
      <w:pPr>
        <w:snapToGrid w:val="0"/>
        <w:spacing w:line="440" w:lineRule="exact"/>
        <w:ind w:firstLine="417" w:firstLineChars="199"/>
        <w:rPr>
          <w:szCs w:val="21"/>
        </w:rPr>
      </w:pPr>
      <w:r>
        <w:rPr>
          <w:szCs w:val="21"/>
        </w:rPr>
        <w:t>若被检产品明示的质量要求缺少本细则中检验项目依据的推荐性标准要求时，该项目不参与判定。</w:t>
      </w:r>
    </w:p>
    <w:p>
      <w:pPr>
        <w:adjustRightInd w:val="0"/>
        <w:snapToGrid w:val="0"/>
        <w:spacing w:line="360" w:lineRule="auto"/>
        <w:ind w:firstLine="420" w:firstLineChars="200"/>
        <w:rPr>
          <w:rFonts w:ascii="Times New Roman" w:hAnsi="Times New Roman"/>
          <w:kern w:val="0"/>
          <w:szCs w:val="21"/>
        </w:rPr>
      </w:pPr>
    </w:p>
    <w:p>
      <w:pPr>
        <w:snapToGrid w:val="0"/>
        <w:spacing w:line="384" w:lineRule="auto"/>
        <w:ind w:firstLine="420" w:firstLineChars="200"/>
        <w:rPr>
          <w:rFonts w:ascii="Times New Roman" w:hAnsi="Times New Roman"/>
          <w:color w:val="000000"/>
          <w:szCs w:val="21"/>
        </w:rPr>
      </w:pPr>
    </w:p>
    <w:sectPr>
      <w:footerReference r:id="rId3" w:type="default"/>
      <w:footerReference r:id="rId4" w:type="even"/>
      <w:pgSz w:w="11906" w:h="16838"/>
      <w:pgMar w:top="1984" w:right="1474" w:bottom="1644" w:left="1474" w:header="851" w:footer="1191" w:gutter="0"/>
      <w:pgNumType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ind w:left="210" w:leftChars="100" w:right="210" w:rightChars="100"/>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ind w:left="315" w:leftChars="150" w:right="315" w:rightChars="150"/>
      <w:jc w:val="both"/>
      <w:textAlignment w:val="auto"/>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1BA"/>
    <w:rsid w:val="00014997"/>
    <w:rsid w:val="00030852"/>
    <w:rsid w:val="00052D0A"/>
    <w:rsid w:val="00053DF0"/>
    <w:rsid w:val="000564D8"/>
    <w:rsid w:val="000660D8"/>
    <w:rsid w:val="0006741A"/>
    <w:rsid w:val="00076FDF"/>
    <w:rsid w:val="00080190"/>
    <w:rsid w:val="000A0C0F"/>
    <w:rsid w:val="000A1F68"/>
    <w:rsid w:val="000B2754"/>
    <w:rsid w:val="000E3B8E"/>
    <w:rsid w:val="000E51B5"/>
    <w:rsid w:val="000E5A92"/>
    <w:rsid w:val="000E6B70"/>
    <w:rsid w:val="000F3EFF"/>
    <w:rsid w:val="0010045C"/>
    <w:rsid w:val="00105F4F"/>
    <w:rsid w:val="001134E2"/>
    <w:rsid w:val="00130C21"/>
    <w:rsid w:val="0013450E"/>
    <w:rsid w:val="00135D58"/>
    <w:rsid w:val="001479E1"/>
    <w:rsid w:val="00160B75"/>
    <w:rsid w:val="00171AE6"/>
    <w:rsid w:val="00175325"/>
    <w:rsid w:val="00177DAE"/>
    <w:rsid w:val="001960E8"/>
    <w:rsid w:val="00197FAE"/>
    <w:rsid w:val="001A2854"/>
    <w:rsid w:val="001B1ECE"/>
    <w:rsid w:val="001B3557"/>
    <w:rsid w:val="001C00A7"/>
    <w:rsid w:val="001C3163"/>
    <w:rsid w:val="001D3021"/>
    <w:rsid w:val="001E7E75"/>
    <w:rsid w:val="001F29C8"/>
    <w:rsid w:val="001F4D89"/>
    <w:rsid w:val="0021010D"/>
    <w:rsid w:val="00251E34"/>
    <w:rsid w:val="002543F2"/>
    <w:rsid w:val="002642D1"/>
    <w:rsid w:val="00267BE7"/>
    <w:rsid w:val="00283526"/>
    <w:rsid w:val="00287CFB"/>
    <w:rsid w:val="002A1067"/>
    <w:rsid w:val="002A3CF4"/>
    <w:rsid w:val="002C75FA"/>
    <w:rsid w:val="002D762D"/>
    <w:rsid w:val="002F3260"/>
    <w:rsid w:val="00300201"/>
    <w:rsid w:val="00301FD0"/>
    <w:rsid w:val="003100C5"/>
    <w:rsid w:val="003139FD"/>
    <w:rsid w:val="00324C61"/>
    <w:rsid w:val="00342341"/>
    <w:rsid w:val="00354255"/>
    <w:rsid w:val="00355360"/>
    <w:rsid w:val="00360312"/>
    <w:rsid w:val="003611BA"/>
    <w:rsid w:val="003701D3"/>
    <w:rsid w:val="00394080"/>
    <w:rsid w:val="00394768"/>
    <w:rsid w:val="003A4091"/>
    <w:rsid w:val="003C4925"/>
    <w:rsid w:val="003E4BDB"/>
    <w:rsid w:val="003E72E4"/>
    <w:rsid w:val="00402234"/>
    <w:rsid w:val="00410DF3"/>
    <w:rsid w:val="004123BE"/>
    <w:rsid w:val="00424667"/>
    <w:rsid w:val="004249BF"/>
    <w:rsid w:val="004314DE"/>
    <w:rsid w:val="004565AD"/>
    <w:rsid w:val="004601B9"/>
    <w:rsid w:val="00473C98"/>
    <w:rsid w:val="004908A6"/>
    <w:rsid w:val="004A34C8"/>
    <w:rsid w:val="004A4DFC"/>
    <w:rsid w:val="004B599D"/>
    <w:rsid w:val="004C6EAB"/>
    <w:rsid w:val="004C79DF"/>
    <w:rsid w:val="004D05AF"/>
    <w:rsid w:val="004E21AE"/>
    <w:rsid w:val="004E3189"/>
    <w:rsid w:val="004E43E4"/>
    <w:rsid w:val="004E741E"/>
    <w:rsid w:val="00507AE0"/>
    <w:rsid w:val="0051512A"/>
    <w:rsid w:val="005167DB"/>
    <w:rsid w:val="00526A3A"/>
    <w:rsid w:val="0054203D"/>
    <w:rsid w:val="00560FE5"/>
    <w:rsid w:val="00577F36"/>
    <w:rsid w:val="00580FD4"/>
    <w:rsid w:val="0058127B"/>
    <w:rsid w:val="005B23B4"/>
    <w:rsid w:val="00624DD6"/>
    <w:rsid w:val="006350F9"/>
    <w:rsid w:val="0064014B"/>
    <w:rsid w:val="00652075"/>
    <w:rsid w:val="00652B40"/>
    <w:rsid w:val="0065576E"/>
    <w:rsid w:val="00660FFF"/>
    <w:rsid w:val="00661A7F"/>
    <w:rsid w:val="0066309F"/>
    <w:rsid w:val="00670265"/>
    <w:rsid w:val="0067449B"/>
    <w:rsid w:val="00675807"/>
    <w:rsid w:val="006904C0"/>
    <w:rsid w:val="006938F7"/>
    <w:rsid w:val="006B1E6D"/>
    <w:rsid w:val="006B26CB"/>
    <w:rsid w:val="006C75F5"/>
    <w:rsid w:val="006D2C66"/>
    <w:rsid w:val="006F3686"/>
    <w:rsid w:val="006F6818"/>
    <w:rsid w:val="00700705"/>
    <w:rsid w:val="007032EA"/>
    <w:rsid w:val="00712FE6"/>
    <w:rsid w:val="00721DBD"/>
    <w:rsid w:val="007346B4"/>
    <w:rsid w:val="007408AB"/>
    <w:rsid w:val="0076570D"/>
    <w:rsid w:val="00766407"/>
    <w:rsid w:val="007844D7"/>
    <w:rsid w:val="007849D4"/>
    <w:rsid w:val="00791F72"/>
    <w:rsid w:val="007B5143"/>
    <w:rsid w:val="007C5B37"/>
    <w:rsid w:val="007D668A"/>
    <w:rsid w:val="007E518A"/>
    <w:rsid w:val="007E7B78"/>
    <w:rsid w:val="00801099"/>
    <w:rsid w:val="0081765C"/>
    <w:rsid w:val="00836457"/>
    <w:rsid w:val="00842CE3"/>
    <w:rsid w:val="008536DB"/>
    <w:rsid w:val="00863267"/>
    <w:rsid w:val="00863F48"/>
    <w:rsid w:val="00872CC4"/>
    <w:rsid w:val="008737DB"/>
    <w:rsid w:val="00877F66"/>
    <w:rsid w:val="008B4A07"/>
    <w:rsid w:val="008C2A7E"/>
    <w:rsid w:val="008D5AB0"/>
    <w:rsid w:val="008E4C32"/>
    <w:rsid w:val="008F131B"/>
    <w:rsid w:val="00910C47"/>
    <w:rsid w:val="00911043"/>
    <w:rsid w:val="00924FE0"/>
    <w:rsid w:val="00933214"/>
    <w:rsid w:val="00963128"/>
    <w:rsid w:val="009740D6"/>
    <w:rsid w:val="009761A4"/>
    <w:rsid w:val="009A6925"/>
    <w:rsid w:val="009B06A4"/>
    <w:rsid w:val="009B3AF3"/>
    <w:rsid w:val="009B48C4"/>
    <w:rsid w:val="009C1C38"/>
    <w:rsid w:val="009D2CD9"/>
    <w:rsid w:val="009D2E2A"/>
    <w:rsid w:val="009E6086"/>
    <w:rsid w:val="009F189F"/>
    <w:rsid w:val="00A055B0"/>
    <w:rsid w:val="00A0674B"/>
    <w:rsid w:val="00A16228"/>
    <w:rsid w:val="00A4091B"/>
    <w:rsid w:val="00A45E64"/>
    <w:rsid w:val="00A5157E"/>
    <w:rsid w:val="00A66A3D"/>
    <w:rsid w:val="00A7543F"/>
    <w:rsid w:val="00A77E8A"/>
    <w:rsid w:val="00A916BA"/>
    <w:rsid w:val="00A93A2D"/>
    <w:rsid w:val="00AA0D8B"/>
    <w:rsid w:val="00AB2350"/>
    <w:rsid w:val="00AB462B"/>
    <w:rsid w:val="00AC4F00"/>
    <w:rsid w:val="00AD0E3E"/>
    <w:rsid w:val="00AD610D"/>
    <w:rsid w:val="00AE1821"/>
    <w:rsid w:val="00AE471A"/>
    <w:rsid w:val="00AE5734"/>
    <w:rsid w:val="00AF5572"/>
    <w:rsid w:val="00AF593A"/>
    <w:rsid w:val="00B008B5"/>
    <w:rsid w:val="00B100BF"/>
    <w:rsid w:val="00B137E4"/>
    <w:rsid w:val="00B20E9E"/>
    <w:rsid w:val="00B258D8"/>
    <w:rsid w:val="00B476F3"/>
    <w:rsid w:val="00B51584"/>
    <w:rsid w:val="00B54E2B"/>
    <w:rsid w:val="00B55224"/>
    <w:rsid w:val="00B61E83"/>
    <w:rsid w:val="00B80476"/>
    <w:rsid w:val="00B95B33"/>
    <w:rsid w:val="00B97F97"/>
    <w:rsid w:val="00BC036B"/>
    <w:rsid w:val="00BD109E"/>
    <w:rsid w:val="00BD2490"/>
    <w:rsid w:val="00BD3023"/>
    <w:rsid w:val="00BE2C4C"/>
    <w:rsid w:val="00C04FF3"/>
    <w:rsid w:val="00C06EF5"/>
    <w:rsid w:val="00C075F6"/>
    <w:rsid w:val="00C174BC"/>
    <w:rsid w:val="00C17712"/>
    <w:rsid w:val="00C17F20"/>
    <w:rsid w:val="00C207B1"/>
    <w:rsid w:val="00C21785"/>
    <w:rsid w:val="00C21C4E"/>
    <w:rsid w:val="00C345BB"/>
    <w:rsid w:val="00C46A22"/>
    <w:rsid w:val="00C5322B"/>
    <w:rsid w:val="00C57739"/>
    <w:rsid w:val="00C636A3"/>
    <w:rsid w:val="00C637C7"/>
    <w:rsid w:val="00C71A81"/>
    <w:rsid w:val="00C9467F"/>
    <w:rsid w:val="00CA58E7"/>
    <w:rsid w:val="00CB14A9"/>
    <w:rsid w:val="00CB5484"/>
    <w:rsid w:val="00CD3877"/>
    <w:rsid w:val="00CF5F1B"/>
    <w:rsid w:val="00D1325F"/>
    <w:rsid w:val="00D15332"/>
    <w:rsid w:val="00D26154"/>
    <w:rsid w:val="00D31DB4"/>
    <w:rsid w:val="00D6657B"/>
    <w:rsid w:val="00D71E2A"/>
    <w:rsid w:val="00D727ED"/>
    <w:rsid w:val="00D732ED"/>
    <w:rsid w:val="00D768C6"/>
    <w:rsid w:val="00D85C2A"/>
    <w:rsid w:val="00D879A0"/>
    <w:rsid w:val="00D92551"/>
    <w:rsid w:val="00D92B01"/>
    <w:rsid w:val="00D9506C"/>
    <w:rsid w:val="00D969BA"/>
    <w:rsid w:val="00DA66B2"/>
    <w:rsid w:val="00DB24B2"/>
    <w:rsid w:val="00DC0140"/>
    <w:rsid w:val="00DD42B6"/>
    <w:rsid w:val="00DD6F7D"/>
    <w:rsid w:val="00DD7E3B"/>
    <w:rsid w:val="00DE5404"/>
    <w:rsid w:val="00DE7240"/>
    <w:rsid w:val="00DF481F"/>
    <w:rsid w:val="00E1489E"/>
    <w:rsid w:val="00E155ED"/>
    <w:rsid w:val="00E24FC8"/>
    <w:rsid w:val="00E55DC8"/>
    <w:rsid w:val="00E5609E"/>
    <w:rsid w:val="00E735BE"/>
    <w:rsid w:val="00E758B0"/>
    <w:rsid w:val="00E96130"/>
    <w:rsid w:val="00ED2869"/>
    <w:rsid w:val="00EF0AC2"/>
    <w:rsid w:val="00EF2B9F"/>
    <w:rsid w:val="00F20A2A"/>
    <w:rsid w:val="00F97EA2"/>
    <w:rsid w:val="00FA2884"/>
    <w:rsid w:val="00FA45C8"/>
    <w:rsid w:val="00FA59DC"/>
    <w:rsid w:val="00FA752F"/>
    <w:rsid w:val="00FC0C80"/>
    <w:rsid w:val="00FC1893"/>
    <w:rsid w:val="00FE1549"/>
    <w:rsid w:val="00FF75D5"/>
    <w:rsid w:val="01757279"/>
    <w:rsid w:val="02394E6E"/>
    <w:rsid w:val="071C39DD"/>
    <w:rsid w:val="091B1E77"/>
    <w:rsid w:val="0BAC4466"/>
    <w:rsid w:val="0C3020D5"/>
    <w:rsid w:val="0DF707EE"/>
    <w:rsid w:val="14707C4A"/>
    <w:rsid w:val="14A748C1"/>
    <w:rsid w:val="1B2A47F6"/>
    <w:rsid w:val="1C5A40F3"/>
    <w:rsid w:val="1FBF627D"/>
    <w:rsid w:val="21717AB6"/>
    <w:rsid w:val="21A6643E"/>
    <w:rsid w:val="2230378B"/>
    <w:rsid w:val="229E2DF9"/>
    <w:rsid w:val="24A525A3"/>
    <w:rsid w:val="286253DA"/>
    <w:rsid w:val="29817179"/>
    <w:rsid w:val="2C062286"/>
    <w:rsid w:val="374D6C2A"/>
    <w:rsid w:val="3AEB18C6"/>
    <w:rsid w:val="3BD8119D"/>
    <w:rsid w:val="3C005133"/>
    <w:rsid w:val="3CFC19D8"/>
    <w:rsid w:val="3D9250BB"/>
    <w:rsid w:val="3E97045C"/>
    <w:rsid w:val="3FCB0170"/>
    <w:rsid w:val="45E3CBB9"/>
    <w:rsid w:val="4A1D0919"/>
    <w:rsid w:val="4FC039DD"/>
    <w:rsid w:val="50401092"/>
    <w:rsid w:val="510379CC"/>
    <w:rsid w:val="54C05621"/>
    <w:rsid w:val="55CC633D"/>
    <w:rsid w:val="5DF51C50"/>
    <w:rsid w:val="5E020474"/>
    <w:rsid w:val="60D566FD"/>
    <w:rsid w:val="61D054C2"/>
    <w:rsid w:val="61F5033B"/>
    <w:rsid w:val="633F1A4A"/>
    <w:rsid w:val="652F585C"/>
    <w:rsid w:val="6C397314"/>
    <w:rsid w:val="6D696891"/>
    <w:rsid w:val="6EC71701"/>
    <w:rsid w:val="71473C46"/>
    <w:rsid w:val="723415EF"/>
    <w:rsid w:val="72E36D0B"/>
    <w:rsid w:val="7300280C"/>
    <w:rsid w:val="741C0B7D"/>
    <w:rsid w:val="77DFD360"/>
    <w:rsid w:val="7A3B6FAF"/>
    <w:rsid w:val="7DFA5F86"/>
    <w:rsid w:val="F9FBABDE"/>
    <w:rsid w:val="FE5C39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link w:val="26"/>
    <w:unhideWhenUsed/>
    <w:qFormat/>
    <w:uiPriority w:val="99"/>
    <w:pPr>
      <w:jc w:val="left"/>
    </w:pPr>
  </w:style>
  <w:style w:type="paragraph" w:styleId="4">
    <w:name w:val="Body Text Indent"/>
    <w:basedOn w:val="1"/>
    <w:link w:val="27"/>
    <w:qFormat/>
    <w:uiPriority w:val="0"/>
    <w:pPr>
      <w:ind w:firstLine="600" w:firstLineChars="200"/>
    </w:pPr>
    <w:rPr>
      <w:rFonts w:ascii="Times New Roman" w:hAnsi="Times New Roman" w:eastAsia="仿宋_GB2312"/>
      <w:sz w:val="30"/>
      <w:szCs w:val="24"/>
    </w:rPr>
  </w:style>
  <w:style w:type="paragraph" w:styleId="5">
    <w:name w:val="Plain Text"/>
    <w:basedOn w:val="1"/>
    <w:link w:val="28"/>
    <w:unhideWhenUsed/>
    <w:qFormat/>
    <w:uiPriority w:val="99"/>
    <w:rPr>
      <w:rFonts w:ascii="宋体" w:hAnsi="Courier New"/>
      <w:kern w:val="0"/>
      <w:sz w:val="20"/>
      <w:szCs w:val="20"/>
    </w:rPr>
  </w:style>
  <w:style w:type="paragraph" w:styleId="6">
    <w:name w:val="Balloon Text"/>
    <w:basedOn w:val="1"/>
    <w:link w:val="29"/>
    <w:unhideWhenUsed/>
    <w:qFormat/>
    <w:uiPriority w:val="99"/>
    <w:rPr>
      <w:sz w:val="18"/>
      <w:szCs w:val="18"/>
    </w:rPr>
  </w:style>
  <w:style w:type="paragraph" w:styleId="7">
    <w:name w:val="footer"/>
    <w:basedOn w:val="1"/>
    <w:link w:val="30"/>
    <w:unhideWhenUsed/>
    <w:qFormat/>
    <w:uiPriority w:val="99"/>
    <w:pPr>
      <w:tabs>
        <w:tab w:val="center" w:pos="4153"/>
        <w:tab w:val="right" w:pos="8306"/>
      </w:tabs>
      <w:snapToGrid w:val="0"/>
      <w:jc w:val="left"/>
    </w:pPr>
    <w:rPr>
      <w:sz w:val="18"/>
      <w:szCs w:val="18"/>
    </w:rPr>
  </w:style>
  <w:style w:type="paragraph" w:styleId="8">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32"/>
    <w:qFormat/>
    <w:uiPriority w:val="0"/>
    <w:pPr>
      <w:widowControl/>
      <w:autoSpaceDE w:val="0"/>
      <w:autoSpaceDN w:val="0"/>
      <w:adjustRightInd w:val="0"/>
      <w:snapToGrid w:val="0"/>
      <w:spacing w:line="600" w:lineRule="exact"/>
      <w:ind w:left="646" w:leftChars="323" w:firstLine="643" w:firstLineChars="201"/>
    </w:pPr>
    <w:rPr>
      <w:rFonts w:ascii="仿宋_GB2312" w:hAnsi="Times New Roman" w:eastAsia="仿宋_GB2312"/>
      <w:kern w:val="0"/>
      <w:sz w:val="32"/>
      <w:szCs w:val="20"/>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3"/>
    <w:next w:val="3"/>
    <w:link w:val="33"/>
    <w:unhideWhenUsed/>
    <w:qFormat/>
    <w:uiPriority w:val="99"/>
    <w:rPr>
      <w:b/>
      <w:bCs/>
    </w:rPr>
  </w:style>
  <w:style w:type="table" w:styleId="13">
    <w:name w:val="Table Grid"/>
    <w:basedOn w:val="1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annotation reference"/>
    <w:unhideWhenUsed/>
    <w:qFormat/>
    <w:uiPriority w:val="99"/>
    <w:rPr>
      <w:sz w:val="21"/>
      <w:szCs w:val="21"/>
    </w:rPr>
  </w:style>
  <w:style w:type="paragraph" w:customStyle="1" w:styleId="17">
    <w:name w:val="Char11"/>
    <w:basedOn w:val="1"/>
    <w:qFormat/>
    <w:uiPriority w:val="0"/>
    <w:pPr>
      <w:jc w:val="center"/>
    </w:pPr>
    <w:rPr>
      <w:rFonts w:ascii="Times New Roman" w:hAnsi="Times New Roman"/>
      <w:szCs w:val="21"/>
    </w:rPr>
  </w:style>
  <w:style w:type="paragraph" w:customStyle="1" w:styleId="18">
    <w:name w:val="Char Char"/>
    <w:basedOn w:val="1"/>
    <w:semiHidden/>
    <w:qFormat/>
    <w:uiPriority w:val="0"/>
    <w:rPr>
      <w:rFonts w:ascii="Times New Roman" w:hAnsi="Times New Roman"/>
      <w:szCs w:val="20"/>
    </w:rPr>
  </w:style>
  <w:style w:type="paragraph" w:customStyle="1" w:styleId="19">
    <w:name w:val="列出段落1"/>
    <w:basedOn w:val="1"/>
    <w:qFormat/>
    <w:uiPriority w:val="34"/>
    <w:pPr>
      <w:ind w:firstLine="420" w:firstLineChars="200"/>
    </w:pPr>
  </w:style>
  <w:style w:type="paragraph" w:customStyle="1" w:styleId="20">
    <w:name w:val="列出段落2"/>
    <w:basedOn w:val="1"/>
    <w:qFormat/>
    <w:uiPriority w:val="99"/>
    <w:pPr>
      <w:ind w:firstLine="420" w:firstLineChars="200"/>
    </w:p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2">
    <w:name w:val="正文1"/>
    <w:basedOn w:val="1"/>
    <w:qFormat/>
    <w:uiPriority w:val="0"/>
    <w:pPr>
      <w:adjustRightInd w:val="0"/>
      <w:spacing w:before="120" w:after="120" w:line="300" w:lineRule="auto"/>
      <w:jc w:val="center"/>
      <w:textAlignment w:val="baseline"/>
    </w:pPr>
    <w:rPr>
      <w:rFonts w:ascii="Times New Roman" w:hAnsi="Times New Roman"/>
      <w:szCs w:val="20"/>
    </w:rPr>
  </w:style>
  <w:style w:type="paragraph" w:customStyle="1" w:styleId="23">
    <w:name w:val="段"/>
    <w:link w:val="3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link w:val="2"/>
    <w:qFormat/>
    <w:uiPriority w:val="9"/>
    <w:rPr>
      <w:rFonts w:ascii="Calibri" w:hAnsi="Calibri" w:eastAsia="宋体" w:cs="Times New Roman"/>
      <w:b/>
      <w:bCs/>
      <w:kern w:val="44"/>
      <w:sz w:val="44"/>
      <w:szCs w:val="44"/>
    </w:rPr>
  </w:style>
  <w:style w:type="character" w:customStyle="1" w:styleId="26">
    <w:name w:val="批注文字 字符"/>
    <w:link w:val="3"/>
    <w:semiHidden/>
    <w:qFormat/>
    <w:uiPriority w:val="99"/>
    <w:rPr>
      <w:rFonts w:ascii="Calibri" w:hAnsi="Calibri"/>
      <w:kern w:val="2"/>
      <w:sz w:val="21"/>
      <w:szCs w:val="22"/>
    </w:rPr>
  </w:style>
  <w:style w:type="character" w:customStyle="1" w:styleId="27">
    <w:name w:val="正文文本缩进 字符"/>
    <w:link w:val="4"/>
    <w:qFormat/>
    <w:uiPriority w:val="0"/>
    <w:rPr>
      <w:rFonts w:ascii="Times New Roman" w:hAnsi="Times New Roman" w:eastAsia="仿宋_GB2312" w:cs="Times New Roman"/>
      <w:sz w:val="30"/>
      <w:szCs w:val="24"/>
    </w:rPr>
  </w:style>
  <w:style w:type="character" w:customStyle="1" w:styleId="28">
    <w:name w:val="纯文本 字符"/>
    <w:link w:val="5"/>
    <w:qFormat/>
    <w:uiPriority w:val="99"/>
    <w:rPr>
      <w:rFonts w:ascii="宋体" w:hAnsi="Courier New" w:eastAsia="宋体" w:cs="Times New Roman"/>
      <w:kern w:val="0"/>
      <w:sz w:val="20"/>
      <w:szCs w:val="20"/>
    </w:rPr>
  </w:style>
  <w:style w:type="character" w:customStyle="1" w:styleId="29">
    <w:name w:val="批注框文本 字符"/>
    <w:link w:val="6"/>
    <w:qFormat/>
    <w:uiPriority w:val="99"/>
    <w:rPr>
      <w:rFonts w:ascii="Calibri" w:hAnsi="Calibri" w:eastAsia="宋体" w:cs="Times New Roman"/>
      <w:sz w:val="18"/>
      <w:szCs w:val="18"/>
    </w:rPr>
  </w:style>
  <w:style w:type="character" w:customStyle="1" w:styleId="30">
    <w:name w:val="页脚 字符"/>
    <w:link w:val="7"/>
    <w:qFormat/>
    <w:uiPriority w:val="99"/>
    <w:rPr>
      <w:rFonts w:ascii="Calibri" w:hAnsi="Calibri" w:eastAsia="宋体" w:cs="Times New Roman"/>
      <w:sz w:val="18"/>
      <w:szCs w:val="18"/>
    </w:rPr>
  </w:style>
  <w:style w:type="character" w:customStyle="1" w:styleId="31">
    <w:name w:val="页眉 字符1"/>
    <w:link w:val="8"/>
    <w:qFormat/>
    <w:uiPriority w:val="0"/>
    <w:rPr>
      <w:rFonts w:ascii="Calibri" w:hAnsi="Calibri" w:eastAsia="宋体" w:cs="Times New Roman"/>
      <w:sz w:val="18"/>
      <w:szCs w:val="18"/>
    </w:rPr>
  </w:style>
  <w:style w:type="character" w:customStyle="1" w:styleId="32">
    <w:name w:val="正文文本缩进 3 字符"/>
    <w:link w:val="9"/>
    <w:qFormat/>
    <w:uiPriority w:val="0"/>
    <w:rPr>
      <w:rFonts w:ascii="仿宋_GB2312" w:hAnsi="Times New Roman" w:eastAsia="仿宋_GB2312" w:cs="Times New Roman"/>
      <w:kern w:val="0"/>
      <w:sz w:val="32"/>
      <w:szCs w:val="20"/>
    </w:rPr>
  </w:style>
  <w:style w:type="character" w:customStyle="1" w:styleId="33">
    <w:name w:val="批注主题 字符"/>
    <w:link w:val="11"/>
    <w:semiHidden/>
    <w:qFormat/>
    <w:uiPriority w:val="99"/>
    <w:rPr>
      <w:rFonts w:ascii="Calibri" w:hAnsi="Calibri"/>
      <w:b/>
      <w:bCs/>
      <w:kern w:val="2"/>
      <w:sz w:val="21"/>
      <w:szCs w:val="22"/>
    </w:rPr>
  </w:style>
  <w:style w:type="character" w:customStyle="1" w:styleId="34">
    <w:name w:val="页眉 字符"/>
    <w:qFormat/>
    <w:uiPriority w:val="0"/>
    <w:rPr>
      <w:kern w:val="2"/>
      <w:sz w:val="18"/>
      <w:szCs w:val="18"/>
    </w:rPr>
  </w:style>
  <w:style w:type="character" w:customStyle="1" w:styleId="35">
    <w:name w:val="段 Char"/>
    <w:link w:val="23"/>
    <w:qFormat/>
    <w:uiPriority w:val="0"/>
    <w:rPr>
      <w:rFonts w:ascii="宋体" w:hAnsi="Times New Roman" w:eastAsia="宋体" w:cs="Times New Roman"/>
      <w:kern w:val="0"/>
      <w:szCs w:val="20"/>
    </w:rPr>
  </w:style>
  <w:style w:type="character" w:customStyle="1" w:styleId="36">
    <w:name w:val="ask-titl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706</Words>
  <Characters>837</Characters>
  <Lines>13</Lines>
  <Paragraphs>3</Paragraphs>
  <TotalTime>1</TotalTime>
  <ScaleCrop>false</ScaleCrop>
  <LinksUpToDate>false</LinksUpToDate>
  <CharactersWithSpaces>861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2024-03-19T09:02:00Z</dcterms:created>
  <dc:creator>oa</dc:creator>
  <cp:lastModifiedBy>JYJD</cp:lastModifiedBy>
  <cp:lastPrinted>2025-02-13T03:22:00Z</cp:lastPrinted>
  <dcterms:modified xsi:type="dcterms:W3CDTF">2025-07-29T02:34:48Z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D0B0A3687B1B4623A0BBADB488BB6744</vt:lpwstr>
  </property>
  <property fmtid="{D5CDD505-2E9C-101B-9397-08002B2CF9AE}" pid="4" name="KSOTemplateDocerSaveRecord">
    <vt:lpwstr>eyJoZGlkIjoiYzdlYzAzZmYyN2I2ZTYxNWI5ZTFhMWYyYTllNWMyMjAiLCJ1c2VySWQiOiIzMTA1MjY0NTYifQ==</vt:lpwstr>
  </property>
</Properties>
</file>