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EEBA3">
      <w:pPr>
        <w:adjustRightInd w:val="0"/>
        <w:snapToGrid w:val="0"/>
        <w:spacing w:line="594" w:lineRule="exact"/>
        <w:jc w:val="center"/>
        <w:rPr>
          <w:rFonts w:eastAsia="方正小标宋简体"/>
          <w:sz w:val="32"/>
          <w:szCs w:val="32"/>
        </w:rPr>
      </w:pPr>
      <w:r>
        <w:rPr>
          <w:rFonts w:hint="eastAsia" w:eastAsia="方正小标宋简体"/>
          <w:sz w:val="32"/>
          <w:szCs w:val="32"/>
          <w:lang w:val="en-US" w:eastAsia="zh-CN"/>
        </w:rPr>
        <w:t>2025年花都区儿童学生用品</w:t>
      </w:r>
      <w:r>
        <w:rPr>
          <w:rFonts w:eastAsia="方正小标宋简体"/>
          <w:sz w:val="32"/>
          <w:szCs w:val="32"/>
        </w:rPr>
        <w:t>产品质量监督抽查实施细则</w:t>
      </w:r>
    </w:p>
    <w:p w14:paraId="0CBBF9AE">
      <w:pPr>
        <w:spacing w:line="440" w:lineRule="exact"/>
        <w:jc w:val="center"/>
        <w:rPr>
          <w:rFonts w:eastAsia="方正小标宋简体"/>
          <w:color w:val="000000"/>
          <w:sz w:val="32"/>
          <w:szCs w:val="32"/>
        </w:rPr>
      </w:pPr>
    </w:p>
    <w:p w14:paraId="7DED1C7C">
      <w:pPr>
        <w:snapToGrid w:val="0"/>
        <w:spacing w:line="440" w:lineRule="exact"/>
        <w:rPr>
          <w:rFonts w:eastAsia="黑体"/>
          <w:szCs w:val="21"/>
        </w:rPr>
      </w:pPr>
      <w:r>
        <w:rPr>
          <w:rFonts w:eastAsia="黑体"/>
          <w:szCs w:val="21"/>
        </w:rPr>
        <w:t>1 抽样方法</w:t>
      </w:r>
    </w:p>
    <w:p w14:paraId="1849C7CE">
      <w:pPr>
        <w:snapToGrid w:val="0"/>
        <w:spacing w:line="440" w:lineRule="exact"/>
        <w:ind w:firstLine="420" w:firstLineChars="200"/>
        <w:rPr>
          <w:szCs w:val="21"/>
        </w:rPr>
      </w:pPr>
      <w:r>
        <w:rPr>
          <w:szCs w:val="21"/>
        </w:rPr>
        <w:t>以随机抽样的方式在被抽样生产者、销售者的待销产品中抽取。</w:t>
      </w:r>
    </w:p>
    <w:p w14:paraId="70761233">
      <w:pPr>
        <w:snapToGrid w:val="0"/>
        <w:spacing w:line="440" w:lineRule="exact"/>
        <w:ind w:firstLine="420" w:firstLineChars="200"/>
        <w:rPr>
          <w:szCs w:val="21"/>
        </w:rPr>
      </w:pPr>
      <w:r>
        <w:rPr>
          <w:szCs w:val="21"/>
        </w:rPr>
        <w:t>随机数一般可使用随机数表等方法产生。</w:t>
      </w:r>
    </w:p>
    <w:p w14:paraId="7568DC25">
      <w:pPr>
        <w:snapToGrid w:val="0"/>
        <w:spacing w:line="440" w:lineRule="exact"/>
        <w:ind w:firstLine="420" w:firstLineChars="200"/>
        <w:rPr>
          <w:szCs w:val="21"/>
        </w:rPr>
      </w:pPr>
      <w:r>
        <w:rPr>
          <w:szCs w:val="21"/>
        </w:rPr>
        <w:t>每批次抽样数量详见表1。</w:t>
      </w:r>
    </w:p>
    <w:p w14:paraId="3AFC323B">
      <w:pPr>
        <w:adjustRightInd w:val="0"/>
        <w:snapToGrid w:val="0"/>
        <w:spacing w:line="440" w:lineRule="exact"/>
        <w:jc w:val="center"/>
        <w:rPr>
          <w:szCs w:val="21"/>
        </w:rPr>
      </w:pPr>
      <w:r>
        <w:rPr>
          <w:szCs w:val="21"/>
        </w:rPr>
        <w:t>表1 抽取样品数量</w:t>
      </w:r>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14:paraId="1652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24" w:type="dxa"/>
            <w:noWrap w:val="0"/>
            <w:vAlign w:val="center"/>
          </w:tcPr>
          <w:p w14:paraId="076D69C6">
            <w:pPr>
              <w:adjustRightInd w:val="0"/>
              <w:snapToGrid w:val="0"/>
              <w:jc w:val="center"/>
              <w:rPr>
                <w:szCs w:val="21"/>
              </w:rPr>
            </w:pPr>
            <w:r>
              <w:rPr>
                <w:szCs w:val="21"/>
              </w:rPr>
              <w:t>序号</w:t>
            </w:r>
          </w:p>
        </w:tc>
        <w:tc>
          <w:tcPr>
            <w:tcW w:w="2565" w:type="dxa"/>
            <w:gridSpan w:val="2"/>
            <w:noWrap w:val="0"/>
            <w:vAlign w:val="center"/>
          </w:tcPr>
          <w:p w14:paraId="0E64C327">
            <w:pPr>
              <w:adjustRightInd w:val="0"/>
              <w:snapToGrid w:val="0"/>
              <w:jc w:val="center"/>
              <w:rPr>
                <w:szCs w:val="21"/>
              </w:rPr>
            </w:pPr>
            <w:r>
              <w:rPr>
                <w:szCs w:val="21"/>
              </w:rPr>
              <w:t>产品种类</w:t>
            </w:r>
          </w:p>
        </w:tc>
        <w:tc>
          <w:tcPr>
            <w:tcW w:w="1950" w:type="dxa"/>
            <w:noWrap w:val="0"/>
            <w:vAlign w:val="center"/>
          </w:tcPr>
          <w:p w14:paraId="612B4A66">
            <w:pPr>
              <w:adjustRightInd w:val="0"/>
              <w:snapToGrid w:val="0"/>
              <w:jc w:val="center"/>
              <w:rPr>
                <w:szCs w:val="21"/>
              </w:rPr>
            </w:pPr>
            <w:r>
              <w:rPr>
                <w:szCs w:val="21"/>
              </w:rPr>
              <w:t>抽样数量</w:t>
            </w:r>
          </w:p>
        </w:tc>
        <w:tc>
          <w:tcPr>
            <w:tcW w:w="2025" w:type="dxa"/>
            <w:noWrap w:val="0"/>
            <w:vAlign w:val="center"/>
          </w:tcPr>
          <w:p w14:paraId="72D1ED1A">
            <w:pPr>
              <w:adjustRightInd w:val="0"/>
              <w:snapToGrid w:val="0"/>
              <w:jc w:val="center"/>
              <w:rPr>
                <w:szCs w:val="21"/>
              </w:rPr>
            </w:pPr>
            <w:r>
              <w:rPr>
                <w:szCs w:val="21"/>
              </w:rPr>
              <w:t>检验样品数量</w:t>
            </w:r>
          </w:p>
        </w:tc>
        <w:tc>
          <w:tcPr>
            <w:tcW w:w="1950" w:type="dxa"/>
            <w:noWrap w:val="0"/>
            <w:vAlign w:val="center"/>
          </w:tcPr>
          <w:p w14:paraId="00DE74C8">
            <w:pPr>
              <w:adjustRightInd w:val="0"/>
              <w:snapToGrid w:val="0"/>
              <w:jc w:val="center"/>
              <w:rPr>
                <w:szCs w:val="21"/>
              </w:rPr>
            </w:pPr>
            <w:r>
              <w:rPr>
                <w:szCs w:val="21"/>
              </w:rPr>
              <w:t>备用样品数量</w:t>
            </w:r>
          </w:p>
        </w:tc>
      </w:tr>
      <w:tr w14:paraId="029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14:paraId="0E81A777">
            <w:pPr>
              <w:adjustRightInd w:val="0"/>
              <w:snapToGrid w:val="0"/>
              <w:jc w:val="center"/>
              <w:rPr>
                <w:szCs w:val="21"/>
              </w:rPr>
            </w:pPr>
            <w:r>
              <w:rPr>
                <w:rFonts w:hint="eastAsia"/>
                <w:szCs w:val="21"/>
                <w:lang w:val="en-US" w:eastAsia="zh-CN"/>
              </w:rPr>
              <w:t>1</w:t>
            </w:r>
          </w:p>
        </w:tc>
        <w:tc>
          <w:tcPr>
            <w:tcW w:w="870" w:type="dxa"/>
            <w:vMerge w:val="restart"/>
            <w:noWrap w:val="0"/>
            <w:vAlign w:val="center"/>
          </w:tcPr>
          <w:p w14:paraId="766F7FF4">
            <w:pPr>
              <w:adjustRightInd w:val="0"/>
              <w:snapToGrid w:val="0"/>
              <w:jc w:val="center"/>
              <w:rPr>
                <w:szCs w:val="21"/>
              </w:rPr>
            </w:pPr>
            <w:r>
              <w:rPr>
                <w:szCs w:val="21"/>
              </w:rPr>
              <w:t>书写笔</w:t>
            </w:r>
          </w:p>
        </w:tc>
        <w:tc>
          <w:tcPr>
            <w:tcW w:w="1695" w:type="dxa"/>
            <w:noWrap w:val="0"/>
            <w:vAlign w:val="center"/>
          </w:tcPr>
          <w:p w14:paraId="46E60B5A">
            <w:pPr>
              <w:adjustRightInd w:val="0"/>
              <w:snapToGrid w:val="0"/>
              <w:jc w:val="center"/>
              <w:rPr>
                <w:szCs w:val="21"/>
              </w:rPr>
            </w:pPr>
            <w:r>
              <w:rPr>
                <w:szCs w:val="21"/>
              </w:rPr>
              <w:t>中性墨水圆珠笔</w:t>
            </w:r>
          </w:p>
        </w:tc>
        <w:tc>
          <w:tcPr>
            <w:tcW w:w="1950" w:type="dxa"/>
            <w:noWrap w:val="0"/>
            <w:vAlign w:val="center"/>
          </w:tcPr>
          <w:p w14:paraId="12099A9A">
            <w:pPr>
              <w:adjustRightInd w:val="0"/>
              <w:snapToGrid w:val="0"/>
              <w:jc w:val="center"/>
              <w:rPr>
                <w:szCs w:val="21"/>
              </w:rPr>
            </w:pPr>
            <w:r>
              <w:rPr>
                <w:szCs w:val="21"/>
              </w:rPr>
              <w:t>20支</w:t>
            </w:r>
          </w:p>
        </w:tc>
        <w:tc>
          <w:tcPr>
            <w:tcW w:w="2025" w:type="dxa"/>
            <w:noWrap w:val="0"/>
            <w:vAlign w:val="center"/>
          </w:tcPr>
          <w:p w14:paraId="64075DCD">
            <w:pPr>
              <w:adjustRightInd w:val="0"/>
              <w:snapToGrid w:val="0"/>
              <w:jc w:val="center"/>
              <w:rPr>
                <w:szCs w:val="21"/>
              </w:rPr>
            </w:pPr>
            <w:r>
              <w:rPr>
                <w:szCs w:val="21"/>
              </w:rPr>
              <w:t>10支</w:t>
            </w:r>
          </w:p>
        </w:tc>
        <w:tc>
          <w:tcPr>
            <w:tcW w:w="1950" w:type="dxa"/>
            <w:noWrap w:val="0"/>
            <w:vAlign w:val="center"/>
          </w:tcPr>
          <w:p w14:paraId="180EB561">
            <w:pPr>
              <w:adjustRightInd w:val="0"/>
              <w:snapToGrid w:val="0"/>
              <w:jc w:val="center"/>
              <w:rPr>
                <w:szCs w:val="21"/>
              </w:rPr>
            </w:pPr>
            <w:r>
              <w:rPr>
                <w:szCs w:val="21"/>
              </w:rPr>
              <w:t>10支</w:t>
            </w:r>
          </w:p>
        </w:tc>
      </w:tr>
      <w:tr w14:paraId="6FC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14:paraId="062FE4DB">
            <w:pPr>
              <w:adjustRightInd w:val="0"/>
              <w:snapToGrid w:val="0"/>
              <w:jc w:val="center"/>
              <w:rPr>
                <w:szCs w:val="21"/>
              </w:rPr>
            </w:pPr>
          </w:p>
        </w:tc>
        <w:tc>
          <w:tcPr>
            <w:tcW w:w="870" w:type="dxa"/>
            <w:vMerge w:val="continue"/>
            <w:noWrap w:val="0"/>
            <w:vAlign w:val="center"/>
          </w:tcPr>
          <w:p w14:paraId="0FCC3212">
            <w:pPr>
              <w:adjustRightInd w:val="0"/>
              <w:snapToGrid w:val="0"/>
              <w:jc w:val="center"/>
              <w:rPr>
                <w:szCs w:val="21"/>
              </w:rPr>
            </w:pPr>
          </w:p>
        </w:tc>
        <w:tc>
          <w:tcPr>
            <w:tcW w:w="1695" w:type="dxa"/>
            <w:noWrap w:val="0"/>
            <w:vAlign w:val="center"/>
          </w:tcPr>
          <w:p w14:paraId="70A78EF3">
            <w:pPr>
              <w:adjustRightInd w:val="0"/>
              <w:snapToGrid w:val="0"/>
              <w:jc w:val="center"/>
              <w:rPr>
                <w:szCs w:val="21"/>
              </w:rPr>
            </w:pPr>
            <w:r>
              <w:rPr>
                <w:szCs w:val="21"/>
              </w:rPr>
              <w:t>铅笔</w:t>
            </w:r>
          </w:p>
        </w:tc>
        <w:tc>
          <w:tcPr>
            <w:tcW w:w="1950" w:type="dxa"/>
            <w:noWrap w:val="0"/>
            <w:vAlign w:val="top"/>
          </w:tcPr>
          <w:p w14:paraId="190D189E">
            <w:pPr>
              <w:adjustRightInd w:val="0"/>
              <w:snapToGrid w:val="0"/>
              <w:jc w:val="center"/>
              <w:rPr>
                <w:szCs w:val="21"/>
              </w:rPr>
            </w:pPr>
            <w:r>
              <w:rPr>
                <w:rFonts w:hint="eastAsia"/>
                <w:szCs w:val="21"/>
                <w:lang w:val="en-US" w:eastAsia="zh-CN"/>
              </w:rPr>
              <w:t>10</w:t>
            </w:r>
            <w:r>
              <w:rPr>
                <w:szCs w:val="21"/>
              </w:rPr>
              <w:t>支</w:t>
            </w:r>
          </w:p>
        </w:tc>
        <w:tc>
          <w:tcPr>
            <w:tcW w:w="2025" w:type="dxa"/>
            <w:noWrap w:val="0"/>
            <w:vAlign w:val="center"/>
          </w:tcPr>
          <w:p w14:paraId="70DAD9E5">
            <w:pPr>
              <w:adjustRightInd w:val="0"/>
              <w:snapToGrid w:val="0"/>
              <w:jc w:val="center"/>
              <w:rPr>
                <w:szCs w:val="21"/>
              </w:rPr>
            </w:pPr>
            <w:r>
              <w:rPr>
                <w:rFonts w:hint="eastAsia"/>
                <w:szCs w:val="21"/>
                <w:lang w:val="en-US" w:eastAsia="zh-CN"/>
              </w:rPr>
              <w:t>5</w:t>
            </w:r>
            <w:r>
              <w:rPr>
                <w:szCs w:val="21"/>
              </w:rPr>
              <w:t>支</w:t>
            </w:r>
          </w:p>
        </w:tc>
        <w:tc>
          <w:tcPr>
            <w:tcW w:w="1950" w:type="dxa"/>
            <w:noWrap w:val="0"/>
            <w:vAlign w:val="top"/>
          </w:tcPr>
          <w:p w14:paraId="56634585">
            <w:pPr>
              <w:adjustRightInd w:val="0"/>
              <w:snapToGrid w:val="0"/>
              <w:jc w:val="center"/>
              <w:rPr>
                <w:szCs w:val="21"/>
              </w:rPr>
            </w:pPr>
            <w:r>
              <w:rPr>
                <w:rFonts w:hint="eastAsia"/>
                <w:szCs w:val="21"/>
                <w:lang w:val="en-US" w:eastAsia="zh-CN"/>
              </w:rPr>
              <w:t>5</w:t>
            </w:r>
            <w:r>
              <w:rPr>
                <w:szCs w:val="21"/>
              </w:rPr>
              <w:t>支</w:t>
            </w:r>
          </w:p>
        </w:tc>
      </w:tr>
      <w:tr w14:paraId="3624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14:paraId="6DDA701A">
            <w:pPr>
              <w:adjustRightInd w:val="0"/>
              <w:snapToGrid w:val="0"/>
              <w:jc w:val="center"/>
              <w:rPr>
                <w:rFonts w:hint="eastAsia" w:eastAsia="宋体"/>
                <w:szCs w:val="21"/>
                <w:lang w:val="en-US" w:eastAsia="zh-CN"/>
              </w:rPr>
            </w:pPr>
            <w:r>
              <w:rPr>
                <w:rFonts w:hint="eastAsia"/>
                <w:szCs w:val="21"/>
                <w:lang w:val="en-US" w:eastAsia="zh-CN"/>
              </w:rPr>
              <w:t>2</w:t>
            </w:r>
          </w:p>
        </w:tc>
        <w:tc>
          <w:tcPr>
            <w:tcW w:w="2565" w:type="dxa"/>
            <w:gridSpan w:val="2"/>
            <w:noWrap w:val="0"/>
            <w:vAlign w:val="center"/>
          </w:tcPr>
          <w:p w14:paraId="3CFB093C">
            <w:pPr>
              <w:adjustRightInd w:val="0"/>
              <w:snapToGrid w:val="0"/>
              <w:jc w:val="center"/>
              <w:rPr>
                <w:rFonts w:hint="eastAsia" w:eastAsia="宋体"/>
                <w:szCs w:val="21"/>
                <w:lang w:val="en-US" w:eastAsia="zh-CN"/>
              </w:rPr>
            </w:pPr>
            <w:r>
              <w:rPr>
                <w:rFonts w:hint="eastAsia"/>
                <w:szCs w:val="21"/>
                <w:lang w:val="en-US" w:eastAsia="zh-CN"/>
              </w:rPr>
              <w:t>彩泥</w:t>
            </w:r>
          </w:p>
        </w:tc>
        <w:tc>
          <w:tcPr>
            <w:tcW w:w="1950" w:type="dxa"/>
            <w:shd w:val="clear" w:color="auto" w:fill="auto"/>
            <w:noWrap w:val="0"/>
            <w:vAlign w:val="center"/>
          </w:tcPr>
          <w:p w14:paraId="7A78180B">
            <w:pPr>
              <w:adjustRightInd w:val="0"/>
              <w:snapToGrid w:val="0"/>
              <w:jc w:val="center"/>
              <w:rPr>
                <w:rFonts w:ascii="Times New Roman" w:hAnsi="Times New Roman" w:eastAsia="宋体" w:cs="Times New Roman"/>
                <w:kern w:val="2"/>
                <w:sz w:val="21"/>
                <w:szCs w:val="21"/>
                <w:lang w:val="en-US" w:eastAsia="zh-CN" w:bidi="ar-SA"/>
              </w:rPr>
            </w:pPr>
            <w:r>
              <w:rPr>
                <w:szCs w:val="21"/>
              </w:rPr>
              <w:t>2套（单色不少于8g）</w:t>
            </w:r>
          </w:p>
        </w:tc>
        <w:tc>
          <w:tcPr>
            <w:tcW w:w="2025" w:type="dxa"/>
            <w:shd w:val="clear" w:color="auto" w:fill="auto"/>
            <w:noWrap w:val="0"/>
            <w:vAlign w:val="center"/>
          </w:tcPr>
          <w:p w14:paraId="45DA724C">
            <w:pPr>
              <w:adjustRightInd w:val="0"/>
              <w:snapToGrid w:val="0"/>
              <w:jc w:val="center"/>
              <w:rPr>
                <w:rFonts w:ascii="Times New Roman" w:hAnsi="Times New Roman" w:eastAsia="宋体" w:cs="Times New Roman"/>
                <w:kern w:val="2"/>
                <w:sz w:val="21"/>
                <w:szCs w:val="21"/>
                <w:lang w:val="en-US" w:eastAsia="zh-CN" w:bidi="ar-SA"/>
              </w:rPr>
            </w:pPr>
            <w:r>
              <w:rPr>
                <w:szCs w:val="21"/>
              </w:rPr>
              <w:t>1套（单色不少于8g）</w:t>
            </w:r>
          </w:p>
        </w:tc>
        <w:tc>
          <w:tcPr>
            <w:tcW w:w="1950" w:type="dxa"/>
            <w:shd w:val="clear" w:color="auto" w:fill="auto"/>
            <w:noWrap w:val="0"/>
            <w:vAlign w:val="center"/>
          </w:tcPr>
          <w:p w14:paraId="2E6B91C1">
            <w:pPr>
              <w:adjustRightInd w:val="0"/>
              <w:snapToGrid w:val="0"/>
              <w:jc w:val="center"/>
              <w:rPr>
                <w:rFonts w:ascii="Times New Roman" w:hAnsi="Times New Roman" w:eastAsia="宋体" w:cs="Times New Roman"/>
                <w:kern w:val="2"/>
                <w:sz w:val="21"/>
                <w:szCs w:val="21"/>
                <w:lang w:val="en-US" w:eastAsia="zh-CN" w:bidi="ar-SA"/>
              </w:rPr>
            </w:pPr>
            <w:r>
              <w:rPr>
                <w:szCs w:val="21"/>
              </w:rPr>
              <w:t>1套（单色不少于8g）</w:t>
            </w:r>
          </w:p>
        </w:tc>
      </w:tr>
      <w:tr w14:paraId="1B2B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14:paraId="05341F7E">
            <w:pPr>
              <w:adjustRightInd w:val="0"/>
              <w:snapToGrid w:val="0"/>
              <w:jc w:val="center"/>
              <w:rPr>
                <w:rFonts w:hint="eastAsia" w:eastAsia="宋体"/>
                <w:szCs w:val="21"/>
                <w:lang w:val="en-US" w:eastAsia="zh-CN"/>
              </w:rPr>
            </w:pPr>
            <w:r>
              <w:rPr>
                <w:rFonts w:hint="eastAsia"/>
                <w:szCs w:val="21"/>
                <w:lang w:val="en-US" w:eastAsia="zh-CN"/>
              </w:rPr>
              <w:t>3</w:t>
            </w:r>
          </w:p>
        </w:tc>
        <w:tc>
          <w:tcPr>
            <w:tcW w:w="2565" w:type="dxa"/>
            <w:gridSpan w:val="2"/>
            <w:shd w:val="clear" w:color="auto" w:fill="auto"/>
            <w:noWrap w:val="0"/>
            <w:vAlign w:val="center"/>
          </w:tcPr>
          <w:p w14:paraId="5F532540">
            <w:pPr>
              <w:adjustRightInd w:val="0"/>
              <w:snapToGrid w:val="0"/>
              <w:jc w:val="center"/>
              <w:rPr>
                <w:rFonts w:ascii="Times New Roman" w:hAnsi="Times New Roman" w:eastAsia="宋体" w:cs="Times New Roman"/>
                <w:kern w:val="2"/>
                <w:sz w:val="21"/>
                <w:szCs w:val="21"/>
                <w:lang w:val="en-US" w:eastAsia="zh-CN" w:bidi="ar-SA"/>
              </w:rPr>
            </w:pPr>
            <w:r>
              <w:rPr>
                <w:szCs w:val="21"/>
              </w:rPr>
              <w:t>笔袋</w:t>
            </w:r>
          </w:p>
        </w:tc>
        <w:tc>
          <w:tcPr>
            <w:tcW w:w="1950" w:type="dxa"/>
            <w:shd w:val="clear" w:color="auto" w:fill="auto"/>
            <w:noWrap w:val="0"/>
            <w:vAlign w:val="center"/>
          </w:tcPr>
          <w:p w14:paraId="25D3A826">
            <w:pPr>
              <w:adjustRightInd w:val="0"/>
              <w:snapToGrid w:val="0"/>
              <w:jc w:val="center"/>
              <w:rPr>
                <w:rFonts w:ascii="Times New Roman" w:hAnsi="Times New Roman" w:eastAsia="宋体" w:cs="Times New Roman"/>
                <w:kern w:val="2"/>
                <w:sz w:val="21"/>
                <w:szCs w:val="21"/>
                <w:lang w:val="en-US" w:eastAsia="zh-CN" w:bidi="ar-SA"/>
              </w:rPr>
            </w:pPr>
            <w:r>
              <w:rPr>
                <w:szCs w:val="21"/>
              </w:rPr>
              <w:t>3个</w:t>
            </w:r>
          </w:p>
        </w:tc>
        <w:tc>
          <w:tcPr>
            <w:tcW w:w="2025" w:type="dxa"/>
            <w:shd w:val="clear" w:color="auto" w:fill="auto"/>
            <w:noWrap w:val="0"/>
            <w:vAlign w:val="center"/>
          </w:tcPr>
          <w:p w14:paraId="10E6DDD2">
            <w:pPr>
              <w:adjustRightInd w:val="0"/>
              <w:snapToGrid w:val="0"/>
              <w:jc w:val="center"/>
              <w:rPr>
                <w:rFonts w:ascii="Times New Roman" w:hAnsi="Times New Roman" w:eastAsia="宋体" w:cs="Times New Roman"/>
                <w:kern w:val="2"/>
                <w:sz w:val="21"/>
                <w:szCs w:val="21"/>
                <w:lang w:val="en-US" w:eastAsia="zh-CN" w:bidi="ar-SA"/>
              </w:rPr>
            </w:pPr>
            <w:r>
              <w:rPr>
                <w:szCs w:val="21"/>
              </w:rPr>
              <w:t>2个</w:t>
            </w:r>
          </w:p>
        </w:tc>
        <w:tc>
          <w:tcPr>
            <w:tcW w:w="1950" w:type="dxa"/>
            <w:shd w:val="clear" w:color="auto" w:fill="auto"/>
            <w:noWrap w:val="0"/>
            <w:vAlign w:val="center"/>
          </w:tcPr>
          <w:p w14:paraId="50C3AE67">
            <w:pPr>
              <w:adjustRightInd w:val="0"/>
              <w:snapToGrid w:val="0"/>
              <w:jc w:val="center"/>
              <w:rPr>
                <w:rFonts w:ascii="Times New Roman" w:hAnsi="Times New Roman" w:eastAsia="宋体" w:cs="Times New Roman"/>
                <w:kern w:val="2"/>
                <w:sz w:val="21"/>
                <w:szCs w:val="21"/>
                <w:lang w:val="en-US" w:eastAsia="zh-CN" w:bidi="ar-SA"/>
              </w:rPr>
            </w:pPr>
            <w:r>
              <w:rPr>
                <w:szCs w:val="21"/>
              </w:rPr>
              <w:t>1个</w:t>
            </w:r>
          </w:p>
        </w:tc>
      </w:tr>
      <w:tr w14:paraId="680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14:paraId="27794C26">
            <w:pPr>
              <w:adjustRightInd w:val="0"/>
              <w:snapToGrid w:val="0"/>
              <w:jc w:val="center"/>
              <w:rPr>
                <w:rFonts w:hint="default"/>
                <w:szCs w:val="21"/>
                <w:lang w:val="en-US" w:eastAsia="zh-CN"/>
              </w:rPr>
            </w:pPr>
            <w:r>
              <w:rPr>
                <w:rFonts w:hint="eastAsia"/>
                <w:szCs w:val="21"/>
                <w:lang w:val="en-US" w:eastAsia="zh-CN"/>
              </w:rPr>
              <w:t>4</w:t>
            </w:r>
          </w:p>
        </w:tc>
        <w:tc>
          <w:tcPr>
            <w:tcW w:w="2565" w:type="dxa"/>
            <w:gridSpan w:val="2"/>
            <w:shd w:val="clear" w:color="auto" w:fill="auto"/>
            <w:noWrap w:val="0"/>
            <w:vAlign w:val="center"/>
          </w:tcPr>
          <w:p w14:paraId="3FFB12E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儿童拖鞋</w:t>
            </w:r>
          </w:p>
        </w:tc>
        <w:tc>
          <w:tcPr>
            <w:tcW w:w="1950" w:type="dxa"/>
            <w:shd w:val="clear" w:color="auto" w:fill="auto"/>
            <w:noWrap w:val="0"/>
            <w:vAlign w:val="center"/>
          </w:tcPr>
          <w:p w14:paraId="354301C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2双</w:t>
            </w:r>
          </w:p>
        </w:tc>
        <w:tc>
          <w:tcPr>
            <w:tcW w:w="2025" w:type="dxa"/>
            <w:shd w:val="clear" w:color="auto" w:fill="auto"/>
            <w:noWrap w:val="0"/>
            <w:vAlign w:val="center"/>
          </w:tcPr>
          <w:p w14:paraId="6DC546E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1双</w:t>
            </w:r>
          </w:p>
        </w:tc>
        <w:tc>
          <w:tcPr>
            <w:tcW w:w="1950" w:type="dxa"/>
            <w:shd w:val="clear" w:color="auto" w:fill="auto"/>
            <w:noWrap w:val="0"/>
            <w:vAlign w:val="center"/>
          </w:tcPr>
          <w:p w14:paraId="4DBC933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1双</w:t>
            </w:r>
          </w:p>
        </w:tc>
      </w:tr>
      <w:tr w14:paraId="124F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4" w:type="dxa"/>
            <w:gridSpan w:val="6"/>
            <w:noWrap w:val="0"/>
            <w:vAlign w:val="center"/>
          </w:tcPr>
          <w:p w14:paraId="162487C5">
            <w:pPr>
              <w:adjustRightInd w:val="0"/>
              <w:snapToGrid w:val="0"/>
              <w:jc w:val="left"/>
              <w:rPr>
                <w:szCs w:val="21"/>
              </w:rPr>
            </w:pPr>
            <w:r>
              <w:rPr>
                <w:szCs w:val="21"/>
              </w:rPr>
              <w:t>注：抽样时以最小独立包装为抽样单元，样品数满足上述抽样数量。</w:t>
            </w:r>
          </w:p>
        </w:tc>
      </w:tr>
    </w:tbl>
    <w:p w14:paraId="3ABA0AFD">
      <w:pPr>
        <w:snapToGrid w:val="0"/>
        <w:spacing w:line="440" w:lineRule="exact"/>
        <w:rPr>
          <w:rFonts w:eastAsia="黑体"/>
          <w:szCs w:val="21"/>
        </w:rPr>
      </w:pPr>
      <w:r>
        <w:rPr>
          <w:rFonts w:eastAsia="黑体"/>
          <w:szCs w:val="21"/>
        </w:rPr>
        <w:t>2 检验依据</w:t>
      </w:r>
    </w:p>
    <w:p w14:paraId="242E850F">
      <w:pPr>
        <w:snapToGrid w:val="0"/>
        <w:spacing w:line="440" w:lineRule="exact"/>
        <w:jc w:val="center"/>
        <w:rPr>
          <w:sz w:val="24"/>
          <w:szCs w:val="21"/>
        </w:rPr>
      </w:pPr>
      <w:r>
        <w:rPr>
          <w:szCs w:val="21"/>
        </w:rPr>
        <w:t>表</w:t>
      </w:r>
      <w:r>
        <w:rPr>
          <w:rFonts w:hint="eastAsia"/>
          <w:szCs w:val="21"/>
          <w:lang w:val="en-US" w:eastAsia="zh-CN"/>
        </w:rPr>
        <w:t>2</w:t>
      </w:r>
      <w:r>
        <w:rPr>
          <w:szCs w:val="21"/>
        </w:rPr>
        <w:t xml:space="preserve"> 学生</w:t>
      </w:r>
      <w:r>
        <w:rPr>
          <w:rFonts w:hint="eastAsia"/>
          <w:szCs w:val="21"/>
          <w:lang w:val="en-US" w:eastAsia="zh-CN"/>
        </w:rPr>
        <w:t>用品</w:t>
      </w:r>
      <w:r>
        <w:rPr>
          <w:szCs w:val="21"/>
        </w:rPr>
        <w:t>（书写笔）</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3780"/>
        <w:gridCol w:w="4194"/>
      </w:tblGrid>
      <w:tr w14:paraId="27C5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14:paraId="5E714A80">
            <w:pPr>
              <w:jc w:val="center"/>
              <w:rPr>
                <w:szCs w:val="21"/>
              </w:rPr>
            </w:pPr>
            <w:r>
              <w:rPr>
                <w:szCs w:val="21"/>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14:paraId="2108768F">
            <w:pPr>
              <w:jc w:val="center"/>
              <w:rPr>
                <w:szCs w:val="21"/>
              </w:rPr>
            </w:pPr>
            <w:r>
              <w:rPr>
                <w:szCs w:val="21"/>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1D2F5E2E">
            <w:pPr>
              <w:jc w:val="center"/>
              <w:rPr>
                <w:szCs w:val="21"/>
              </w:rPr>
            </w:pPr>
            <w:r>
              <w:rPr>
                <w:szCs w:val="21"/>
              </w:rPr>
              <w:t>检验方法</w:t>
            </w:r>
          </w:p>
        </w:tc>
      </w:tr>
      <w:tr w14:paraId="6C2E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14:paraId="629EC1A3">
            <w:pPr>
              <w:jc w:val="center"/>
              <w:rPr>
                <w:szCs w:val="21"/>
              </w:rPr>
            </w:pPr>
            <w:r>
              <w:rPr>
                <w:szCs w:val="21"/>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14:paraId="0CF49539">
            <w:pPr>
              <w:jc w:val="center"/>
              <w:rPr>
                <w:szCs w:val="21"/>
              </w:rPr>
            </w:pPr>
            <w:r>
              <w:rPr>
                <w:szCs w:val="21"/>
              </w:rPr>
              <w:t>可迁移元素的限量</w:t>
            </w:r>
            <w:bookmarkStart w:id="0" w:name="_GoBack"/>
            <w:bookmarkEnd w:id="0"/>
          </w:p>
        </w:tc>
        <w:tc>
          <w:tcPr>
            <w:tcW w:w="2314" w:type="pct"/>
            <w:tcBorders>
              <w:top w:val="single" w:color="auto" w:sz="4" w:space="0"/>
              <w:left w:val="single" w:color="auto" w:sz="4" w:space="0"/>
              <w:bottom w:val="single" w:color="auto" w:sz="4" w:space="0"/>
              <w:right w:val="single" w:color="auto" w:sz="4" w:space="0"/>
            </w:tcBorders>
            <w:noWrap w:val="0"/>
            <w:vAlign w:val="center"/>
          </w:tcPr>
          <w:p w14:paraId="64E745A5">
            <w:pPr>
              <w:jc w:val="center"/>
              <w:rPr>
                <w:szCs w:val="21"/>
              </w:rPr>
            </w:pPr>
            <w:r>
              <w:rPr>
                <w:szCs w:val="21"/>
              </w:rPr>
              <w:t>GB 6675.4—2014</w:t>
            </w:r>
          </w:p>
          <w:p w14:paraId="449BF9D8">
            <w:pPr>
              <w:jc w:val="center"/>
              <w:rPr>
                <w:szCs w:val="21"/>
              </w:rPr>
            </w:pPr>
            <w:r>
              <w:rPr>
                <w:rFonts w:hint="eastAsia"/>
                <w:szCs w:val="21"/>
              </w:rPr>
              <w:t>GB/T 26193—2010或</w:t>
            </w:r>
          </w:p>
          <w:p w14:paraId="7B8D9E71">
            <w:pPr>
              <w:jc w:val="center"/>
              <w:rPr>
                <w:szCs w:val="21"/>
              </w:rPr>
            </w:pPr>
            <w:r>
              <w:rPr>
                <w:rFonts w:hint="eastAsia"/>
                <w:szCs w:val="21"/>
              </w:rPr>
              <w:t>GB/T30419—2013或</w:t>
            </w:r>
          </w:p>
          <w:p w14:paraId="0189B5D3">
            <w:pPr>
              <w:jc w:val="center"/>
              <w:rPr>
                <w:szCs w:val="21"/>
              </w:rPr>
            </w:pPr>
            <w:r>
              <w:rPr>
                <w:rFonts w:hint="eastAsia"/>
                <w:szCs w:val="21"/>
              </w:rPr>
              <w:t>“GB/T 32602—2016和GB/T 32603—2016”</w:t>
            </w:r>
          </w:p>
        </w:tc>
      </w:tr>
      <w:tr w14:paraId="68AE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14:paraId="467FAAF8">
            <w:pPr>
              <w:jc w:val="center"/>
              <w:rPr>
                <w:szCs w:val="21"/>
              </w:rPr>
            </w:pPr>
            <w:r>
              <w:rPr>
                <w:szCs w:val="21"/>
              </w:rPr>
              <w:t>2</w:t>
            </w:r>
          </w:p>
        </w:tc>
        <w:tc>
          <w:tcPr>
            <w:tcW w:w="2086" w:type="pct"/>
            <w:tcBorders>
              <w:top w:val="single" w:color="auto" w:sz="4" w:space="0"/>
              <w:left w:val="single" w:color="auto" w:sz="4" w:space="0"/>
              <w:bottom w:val="single" w:color="auto" w:sz="4" w:space="0"/>
              <w:right w:val="single" w:color="auto" w:sz="4" w:space="0"/>
            </w:tcBorders>
            <w:noWrap w:val="0"/>
            <w:vAlign w:val="center"/>
          </w:tcPr>
          <w:p w14:paraId="354FA513">
            <w:pPr>
              <w:jc w:val="center"/>
              <w:rPr>
                <w:szCs w:val="21"/>
              </w:rPr>
            </w:pPr>
            <w:r>
              <w:rPr>
                <w:szCs w:val="21"/>
              </w:rPr>
              <w:t>可触及的塑料件中邻苯二甲酸酯增塑剂的限量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729B23CD">
            <w:pPr>
              <w:jc w:val="center"/>
              <w:rPr>
                <w:szCs w:val="21"/>
              </w:rPr>
            </w:pPr>
            <w:r>
              <w:rPr>
                <w:kern w:val="0"/>
                <w:szCs w:val="21"/>
              </w:rPr>
              <w:t>GB/T 22048</w:t>
            </w:r>
            <w:r>
              <w:rPr>
                <w:szCs w:val="21"/>
              </w:rPr>
              <w:t>—</w:t>
            </w:r>
            <w:r>
              <w:rPr>
                <w:kern w:val="0"/>
                <w:szCs w:val="21"/>
              </w:rPr>
              <w:t>2022</w:t>
            </w:r>
          </w:p>
        </w:tc>
      </w:tr>
      <w:tr w14:paraId="5316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 w:type="pct"/>
            <w:tcBorders>
              <w:top w:val="single" w:color="auto" w:sz="4" w:space="0"/>
              <w:left w:val="single" w:color="auto" w:sz="4" w:space="0"/>
              <w:bottom w:val="single" w:color="auto" w:sz="4" w:space="0"/>
              <w:right w:val="single" w:color="auto" w:sz="4" w:space="0"/>
            </w:tcBorders>
            <w:noWrap w:val="0"/>
            <w:vAlign w:val="center"/>
          </w:tcPr>
          <w:p w14:paraId="4BCC1CF4">
            <w:pPr>
              <w:jc w:val="center"/>
              <w:rPr>
                <w:szCs w:val="21"/>
              </w:rPr>
            </w:pPr>
            <w:r>
              <w:rPr>
                <w:szCs w:val="21"/>
              </w:rPr>
              <w:t>3</w:t>
            </w:r>
          </w:p>
        </w:tc>
        <w:tc>
          <w:tcPr>
            <w:tcW w:w="2086" w:type="pct"/>
            <w:tcBorders>
              <w:top w:val="single" w:color="auto" w:sz="4" w:space="0"/>
              <w:left w:val="single" w:color="auto" w:sz="4" w:space="0"/>
              <w:bottom w:val="single" w:color="auto" w:sz="4" w:space="0"/>
              <w:right w:val="single" w:color="auto" w:sz="4" w:space="0"/>
            </w:tcBorders>
            <w:noWrap w:val="0"/>
            <w:vAlign w:val="center"/>
          </w:tcPr>
          <w:p w14:paraId="74092F7D">
            <w:pPr>
              <w:jc w:val="center"/>
              <w:rPr>
                <w:szCs w:val="21"/>
              </w:rPr>
            </w:pPr>
            <w:r>
              <w:rPr>
                <w:szCs w:val="21"/>
              </w:rPr>
              <w:t>笔套安全</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7427B3A9">
            <w:pPr>
              <w:jc w:val="center"/>
              <w:rPr>
                <w:szCs w:val="21"/>
              </w:rPr>
            </w:pPr>
            <w:r>
              <w:rPr>
                <w:szCs w:val="21"/>
              </w:rPr>
              <w:t xml:space="preserve">GB 21027—2020 </w:t>
            </w:r>
          </w:p>
        </w:tc>
      </w:tr>
    </w:tbl>
    <w:p w14:paraId="0ACA5C32">
      <w:pPr>
        <w:snapToGrid w:val="0"/>
        <w:spacing w:line="440" w:lineRule="exact"/>
        <w:jc w:val="center"/>
        <w:rPr>
          <w:sz w:val="24"/>
          <w:szCs w:val="21"/>
        </w:rPr>
      </w:pPr>
      <w:r>
        <w:rPr>
          <w:szCs w:val="21"/>
        </w:rPr>
        <w:t>表</w:t>
      </w:r>
      <w:r>
        <w:rPr>
          <w:rFonts w:hint="eastAsia"/>
          <w:szCs w:val="21"/>
          <w:lang w:val="en-US" w:eastAsia="zh-CN"/>
        </w:rPr>
        <w:t>3</w:t>
      </w:r>
      <w:r>
        <w:rPr>
          <w:szCs w:val="21"/>
        </w:rPr>
        <w:t xml:space="preserve"> 学生</w:t>
      </w:r>
      <w:r>
        <w:rPr>
          <w:rFonts w:hint="eastAsia"/>
          <w:szCs w:val="21"/>
          <w:lang w:val="en-US" w:eastAsia="zh-CN"/>
        </w:rPr>
        <w:t>用品</w:t>
      </w:r>
      <w:r>
        <w:rPr>
          <w:szCs w:val="21"/>
        </w:rPr>
        <w:t>（彩泥）</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597"/>
        <w:gridCol w:w="4194"/>
      </w:tblGrid>
      <w:tr w14:paraId="60C3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top"/>
          </w:tcPr>
          <w:p w14:paraId="2DB9787E">
            <w:pPr>
              <w:adjustRightInd w:val="0"/>
              <w:snapToGrid w:val="0"/>
              <w:spacing w:line="440" w:lineRule="exact"/>
              <w:jc w:val="center"/>
              <w:rPr>
                <w:szCs w:val="21"/>
              </w:rPr>
            </w:pPr>
            <w:r>
              <w:rPr>
                <w:szCs w:val="21"/>
              </w:rPr>
              <w:t>序号</w:t>
            </w:r>
          </w:p>
        </w:tc>
        <w:tc>
          <w:tcPr>
            <w:tcW w:w="1985" w:type="pct"/>
            <w:noWrap w:val="0"/>
            <w:vAlign w:val="top"/>
          </w:tcPr>
          <w:p w14:paraId="374CDF27">
            <w:pPr>
              <w:adjustRightInd w:val="0"/>
              <w:snapToGrid w:val="0"/>
              <w:spacing w:line="440" w:lineRule="exact"/>
              <w:jc w:val="center"/>
              <w:rPr>
                <w:szCs w:val="21"/>
              </w:rPr>
            </w:pPr>
            <w:r>
              <w:rPr>
                <w:szCs w:val="21"/>
              </w:rPr>
              <w:t>检验项目</w:t>
            </w:r>
          </w:p>
        </w:tc>
        <w:tc>
          <w:tcPr>
            <w:tcW w:w="2314" w:type="pct"/>
            <w:noWrap w:val="0"/>
            <w:vAlign w:val="top"/>
          </w:tcPr>
          <w:p w14:paraId="42083F4E">
            <w:pPr>
              <w:adjustRightInd w:val="0"/>
              <w:snapToGrid w:val="0"/>
              <w:spacing w:line="440" w:lineRule="exact"/>
              <w:jc w:val="center"/>
              <w:rPr>
                <w:szCs w:val="21"/>
              </w:rPr>
            </w:pPr>
            <w:r>
              <w:rPr>
                <w:szCs w:val="21"/>
              </w:rPr>
              <w:t>检验方法</w:t>
            </w:r>
          </w:p>
        </w:tc>
      </w:tr>
      <w:tr w14:paraId="04FE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14:paraId="5135C53A">
            <w:pPr>
              <w:adjustRightInd w:val="0"/>
              <w:snapToGrid w:val="0"/>
              <w:jc w:val="center"/>
              <w:rPr>
                <w:szCs w:val="21"/>
              </w:rPr>
            </w:pPr>
            <w:r>
              <w:rPr>
                <w:szCs w:val="21"/>
              </w:rPr>
              <w:t>1</w:t>
            </w:r>
          </w:p>
        </w:tc>
        <w:tc>
          <w:tcPr>
            <w:tcW w:w="1985" w:type="pct"/>
            <w:noWrap w:val="0"/>
            <w:vAlign w:val="center"/>
          </w:tcPr>
          <w:p w14:paraId="6A5379D9">
            <w:pPr>
              <w:adjustRightInd w:val="0"/>
              <w:snapToGrid w:val="0"/>
              <w:jc w:val="center"/>
              <w:rPr>
                <w:szCs w:val="21"/>
              </w:rPr>
            </w:pPr>
            <w:r>
              <w:rPr>
                <w:szCs w:val="21"/>
              </w:rPr>
              <w:t>可迁移元素的限量</w:t>
            </w:r>
          </w:p>
        </w:tc>
        <w:tc>
          <w:tcPr>
            <w:tcW w:w="2314" w:type="pct"/>
            <w:noWrap w:val="0"/>
            <w:vAlign w:val="center"/>
          </w:tcPr>
          <w:p w14:paraId="1A1739C0">
            <w:pPr>
              <w:jc w:val="center"/>
              <w:rPr>
                <w:szCs w:val="21"/>
              </w:rPr>
            </w:pPr>
            <w:r>
              <w:rPr>
                <w:szCs w:val="21"/>
              </w:rPr>
              <w:t>GB 6675.4—2014</w:t>
            </w:r>
          </w:p>
          <w:p w14:paraId="5CE9A054">
            <w:pPr>
              <w:jc w:val="center"/>
              <w:rPr>
                <w:szCs w:val="21"/>
              </w:rPr>
            </w:pPr>
            <w:r>
              <w:rPr>
                <w:rFonts w:hint="eastAsia"/>
                <w:szCs w:val="21"/>
              </w:rPr>
              <w:t>GB/T 26193—2010或</w:t>
            </w:r>
          </w:p>
          <w:p w14:paraId="11532EE2">
            <w:pPr>
              <w:jc w:val="center"/>
              <w:rPr>
                <w:szCs w:val="21"/>
              </w:rPr>
            </w:pPr>
            <w:r>
              <w:rPr>
                <w:rFonts w:hint="eastAsia"/>
                <w:szCs w:val="21"/>
              </w:rPr>
              <w:t>GB/T30419—2013或</w:t>
            </w:r>
          </w:p>
          <w:p w14:paraId="1C9479AF">
            <w:pPr>
              <w:jc w:val="center"/>
              <w:rPr>
                <w:szCs w:val="21"/>
              </w:rPr>
            </w:pPr>
            <w:r>
              <w:rPr>
                <w:rFonts w:hint="eastAsia"/>
                <w:szCs w:val="21"/>
              </w:rPr>
              <w:t>“GB/T 32602—2016和GB/T 32603—2016”</w:t>
            </w:r>
          </w:p>
        </w:tc>
      </w:tr>
      <w:tr w14:paraId="2DA0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14:paraId="2C42A669">
            <w:pPr>
              <w:adjustRightInd w:val="0"/>
              <w:snapToGrid w:val="0"/>
              <w:jc w:val="center"/>
              <w:rPr>
                <w:szCs w:val="21"/>
              </w:rPr>
            </w:pPr>
            <w:r>
              <w:rPr>
                <w:szCs w:val="21"/>
              </w:rPr>
              <w:t>2</w:t>
            </w:r>
          </w:p>
        </w:tc>
        <w:tc>
          <w:tcPr>
            <w:tcW w:w="1985" w:type="pct"/>
            <w:noWrap w:val="0"/>
            <w:vAlign w:val="center"/>
          </w:tcPr>
          <w:p w14:paraId="79D2F922">
            <w:pPr>
              <w:adjustRightInd w:val="0"/>
              <w:snapToGrid w:val="0"/>
              <w:jc w:val="center"/>
              <w:rPr>
                <w:szCs w:val="21"/>
              </w:rPr>
            </w:pPr>
            <w:r>
              <w:rPr>
                <w:szCs w:val="21"/>
              </w:rPr>
              <w:t>可触及的塑料件中邻苯二甲酸酯增塑剂的限量</w:t>
            </w:r>
          </w:p>
        </w:tc>
        <w:tc>
          <w:tcPr>
            <w:tcW w:w="2314" w:type="pct"/>
            <w:noWrap w:val="0"/>
            <w:vAlign w:val="center"/>
          </w:tcPr>
          <w:p w14:paraId="4D9EB421">
            <w:pPr>
              <w:adjustRightInd w:val="0"/>
              <w:snapToGrid w:val="0"/>
              <w:jc w:val="center"/>
              <w:rPr>
                <w:szCs w:val="21"/>
              </w:rPr>
            </w:pPr>
            <w:r>
              <w:rPr>
                <w:kern w:val="0"/>
                <w:szCs w:val="21"/>
              </w:rPr>
              <w:t>GB/T 22048</w:t>
            </w:r>
            <w:r>
              <w:rPr>
                <w:szCs w:val="21"/>
              </w:rPr>
              <w:t>—</w:t>
            </w:r>
            <w:r>
              <w:rPr>
                <w:kern w:val="0"/>
                <w:szCs w:val="21"/>
              </w:rPr>
              <w:t>2022</w:t>
            </w:r>
          </w:p>
        </w:tc>
      </w:tr>
      <w:tr w14:paraId="25EA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14:paraId="00D87A5E">
            <w:pPr>
              <w:adjustRightInd w:val="0"/>
              <w:snapToGrid w:val="0"/>
              <w:jc w:val="center"/>
              <w:rPr>
                <w:szCs w:val="21"/>
              </w:rPr>
            </w:pPr>
            <w:r>
              <w:rPr>
                <w:szCs w:val="21"/>
              </w:rPr>
              <w:t>3</w:t>
            </w:r>
          </w:p>
        </w:tc>
        <w:tc>
          <w:tcPr>
            <w:tcW w:w="1985" w:type="pct"/>
            <w:noWrap w:val="0"/>
            <w:vAlign w:val="center"/>
          </w:tcPr>
          <w:p w14:paraId="5214A927">
            <w:pPr>
              <w:adjustRightInd w:val="0"/>
              <w:snapToGrid w:val="0"/>
              <w:jc w:val="center"/>
              <w:rPr>
                <w:szCs w:val="21"/>
              </w:rPr>
            </w:pPr>
            <w:r>
              <w:rPr>
                <w:szCs w:val="21"/>
              </w:rPr>
              <w:t>游离甲醛的限量</w:t>
            </w:r>
          </w:p>
        </w:tc>
        <w:tc>
          <w:tcPr>
            <w:tcW w:w="2314" w:type="pct"/>
            <w:noWrap w:val="0"/>
            <w:vAlign w:val="center"/>
          </w:tcPr>
          <w:p w14:paraId="586C2F3A">
            <w:pPr>
              <w:adjustRightInd w:val="0"/>
              <w:snapToGrid w:val="0"/>
              <w:jc w:val="center"/>
              <w:rPr>
                <w:szCs w:val="21"/>
              </w:rPr>
            </w:pPr>
            <w:r>
              <w:rPr>
                <w:szCs w:val="21"/>
              </w:rPr>
              <w:t>GB/T 32606—2016</w:t>
            </w:r>
          </w:p>
        </w:tc>
      </w:tr>
    </w:tbl>
    <w:p w14:paraId="041E3F60">
      <w:pPr>
        <w:snapToGrid w:val="0"/>
        <w:spacing w:line="440" w:lineRule="exact"/>
        <w:jc w:val="center"/>
        <w:rPr>
          <w:szCs w:val="21"/>
        </w:rPr>
      </w:pPr>
    </w:p>
    <w:p w14:paraId="425E1410">
      <w:pPr>
        <w:snapToGrid w:val="0"/>
        <w:spacing w:line="440" w:lineRule="exact"/>
        <w:jc w:val="center"/>
        <w:rPr>
          <w:sz w:val="24"/>
          <w:szCs w:val="21"/>
        </w:rPr>
      </w:pPr>
      <w:r>
        <w:rPr>
          <w:szCs w:val="21"/>
        </w:rPr>
        <w:t>表</w:t>
      </w:r>
      <w:r>
        <w:rPr>
          <w:rFonts w:hint="eastAsia"/>
          <w:szCs w:val="21"/>
          <w:lang w:val="en-US" w:eastAsia="zh-CN"/>
        </w:rPr>
        <w:t>4</w:t>
      </w:r>
      <w:r>
        <w:rPr>
          <w:szCs w:val="21"/>
        </w:rPr>
        <w:t xml:space="preserve"> 学生</w:t>
      </w:r>
      <w:r>
        <w:rPr>
          <w:rFonts w:hint="eastAsia"/>
          <w:szCs w:val="21"/>
          <w:lang w:val="en-US" w:eastAsia="zh-CN"/>
        </w:rPr>
        <w:t>用品</w:t>
      </w:r>
      <w:r>
        <w:rPr>
          <w:szCs w:val="21"/>
        </w:rPr>
        <w:t>（笔袋）</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867"/>
        <w:gridCol w:w="4194"/>
      </w:tblGrid>
      <w:tr w14:paraId="1C50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tcBorders>
              <w:top w:val="single" w:color="auto" w:sz="4" w:space="0"/>
              <w:left w:val="single" w:color="auto" w:sz="4" w:space="0"/>
              <w:bottom w:val="single" w:color="auto" w:sz="4" w:space="0"/>
              <w:right w:val="single" w:color="auto" w:sz="4" w:space="0"/>
            </w:tcBorders>
            <w:noWrap w:val="0"/>
            <w:vAlign w:val="center"/>
          </w:tcPr>
          <w:p w14:paraId="098532FB">
            <w:pPr>
              <w:jc w:val="center"/>
              <w:rPr>
                <w:szCs w:val="21"/>
              </w:rPr>
            </w:pPr>
            <w:r>
              <w:rPr>
                <w:szCs w:val="21"/>
              </w:rPr>
              <w:t>序号</w:t>
            </w:r>
          </w:p>
        </w:tc>
        <w:tc>
          <w:tcPr>
            <w:tcW w:w="2134" w:type="pct"/>
            <w:tcBorders>
              <w:top w:val="single" w:color="auto" w:sz="4" w:space="0"/>
              <w:left w:val="single" w:color="auto" w:sz="4" w:space="0"/>
              <w:bottom w:val="single" w:color="auto" w:sz="4" w:space="0"/>
              <w:right w:val="single" w:color="auto" w:sz="4" w:space="0"/>
            </w:tcBorders>
            <w:noWrap w:val="0"/>
            <w:vAlign w:val="center"/>
          </w:tcPr>
          <w:p w14:paraId="043D1F7E">
            <w:pPr>
              <w:jc w:val="center"/>
              <w:rPr>
                <w:szCs w:val="21"/>
              </w:rPr>
            </w:pPr>
            <w:r>
              <w:rPr>
                <w:szCs w:val="21"/>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499352C5">
            <w:pPr>
              <w:jc w:val="center"/>
              <w:rPr>
                <w:szCs w:val="21"/>
              </w:rPr>
            </w:pPr>
            <w:r>
              <w:rPr>
                <w:szCs w:val="21"/>
              </w:rPr>
              <w:t>检验方法</w:t>
            </w:r>
          </w:p>
        </w:tc>
      </w:tr>
      <w:tr w14:paraId="462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tcBorders>
              <w:top w:val="single" w:color="auto" w:sz="4" w:space="0"/>
              <w:left w:val="single" w:color="auto" w:sz="4" w:space="0"/>
              <w:bottom w:val="single" w:color="auto" w:sz="4" w:space="0"/>
              <w:right w:val="single" w:color="auto" w:sz="4" w:space="0"/>
            </w:tcBorders>
            <w:noWrap w:val="0"/>
            <w:vAlign w:val="center"/>
          </w:tcPr>
          <w:p w14:paraId="7B21A4F8">
            <w:pPr>
              <w:jc w:val="center"/>
              <w:rPr>
                <w:szCs w:val="21"/>
              </w:rPr>
            </w:pPr>
            <w:r>
              <w:rPr>
                <w:szCs w:val="21"/>
              </w:rPr>
              <w:t>1</w:t>
            </w:r>
          </w:p>
        </w:tc>
        <w:tc>
          <w:tcPr>
            <w:tcW w:w="2134" w:type="pct"/>
            <w:tcBorders>
              <w:top w:val="single" w:color="auto" w:sz="4" w:space="0"/>
              <w:left w:val="single" w:color="auto" w:sz="4" w:space="0"/>
              <w:bottom w:val="single" w:color="auto" w:sz="4" w:space="0"/>
              <w:right w:val="single" w:color="auto" w:sz="4" w:space="0"/>
            </w:tcBorders>
            <w:noWrap w:val="0"/>
            <w:vAlign w:val="center"/>
          </w:tcPr>
          <w:p w14:paraId="7B69D2B0">
            <w:pPr>
              <w:spacing w:line="360" w:lineRule="exact"/>
              <w:jc w:val="center"/>
              <w:rPr>
                <w:szCs w:val="21"/>
              </w:rPr>
            </w:pPr>
            <w:r>
              <w:rPr>
                <w:szCs w:val="21"/>
              </w:rPr>
              <w:t>可迁移元素的限量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0649BDAA">
            <w:pPr>
              <w:jc w:val="center"/>
              <w:rPr>
                <w:szCs w:val="21"/>
              </w:rPr>
            </w:pPr>
            <w:r>
              <w:rPr>
                <w:szCs w:val="21"/>
              </w:rPr>
              <w:t>GB 6675.4—2014</w:t>
            </w:r>
          </w:p>
          <w:p w14:paraId="3E2CED9B">
            <w:pPr>
              <w:jc w:val="center"/>
              <w:rPr>
                <w:szCs w:val="21"/>
              </w:rPr>
            </w:pPr>
            <w:r>
              <w:rPr>
                <w:rFonts w:hint="eastAsia"/>
                <w:szCs w:val="21"/>
              </w:rPr>
              <w:t>GB/T 26193—2010或</w:t>
            </w:r>
          </w:p>
          <w:p w14:paraId="71681DA7">
            <w:pPr>
              <w:jc w:val="center"/>
              <w:rPr>
                <w:szCs w:val="21"/>
              </w:rPr>
            </w:pPr>
            <w:r>
              <w:rPr>
                <w:rFonts w:hint="eastAsia"/>
                <w:szCs w:val="21"/>
              </w:rPr>
              <w:t>GB/T30419—2013或</w:t>
            </w:r>
          </w:p>
          <w:p w14:paraId="2A472CB1">
            <w:pPr>
              <w:jc w:val="center"/>
              <w:rPr>
                <w:szCs w:val="21"/>
              </w:rPr>
            </w:pPr>
            <w:r>
              <w:rPr>
                <w:rFonts w:hint="eastAsia"/>
                <w:szCs w:val="21"/>
              </w:rPr>
              <w:t>“GB/T 32602—2016和GB/T 32603—2016”</w:t>
            </w:r>
          </w:p>
        </w:tc>
      </w:tr>
      <w:tr w14:paraId="2DBB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tcBorders>
              <w:top w:val="single" w:color="auto" w:sz="4" w:space="0"/>
              <w:left w:val="single" w:color="auto" w:sz="4" w:space="0"/>
              <w:bottom w:val="single" w:color="auto" w:sz="4" w:space="0"/>
              <w:right w:val="single" w:color="auto" w:sz="4" w:space="0"/>
            </w:tcBorders>
            <w:noWrap w:val="0"/>
            <w:vAlign w:val="center"/>
          </w:tcPr>
          <w:p w14:paraId="4893279D">
            <w:pPr>
              <w:jc w:val="center"/>
              <w:rPr>
                <w:szCs w:val="21"/>
              </w:rPr>
            </w:pPr>
            <w:r>
              <w:rPr>
                <w:szCs w:val="21"/>
              </w:rPr>
              <w:t>2</w:t>
            </w:r>
          </w:p>
        </w:tc>
        <w:tc>
          <w:tcPr>
            <w:tcW w:w="2134" w:type="pct"/>
            <w:tcBorders>
              <w:top w:val="single" w:color="auto" w:sz="4" w:space="0"/>
              <w:left w:val="single" w:color="auto" w:sz="4" w:space="0"/>
              <w:bottom w:val="single" w:color="auto" w:sz="4" w:space="0"/>
              <w:right w:val="single" w:color="auto" w:sz="4" w:space="0"/>
            </w:tcBorders>
            <w:noWrap w:val="0"/>
            <w:vAlign w:val="center"/>
          </w:tcPr>
          <w:p w14:paraId="4BC039DE">
            <w:pPr>
              <w:spacing w:line="360" w:lineRule="exact"/>
              <w:jc w:val="center"/>
              <w:rPr>
                <w:szCs w:val="21"/>
              </w:rPr>
            </w:pPr>
            <w:r>
              <w:rPr>
                <w:szCs w:val="21"/>
              </w:rPr>
              <w:t>游离甲醛含量</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2AD6C525">
            <w:pPr>
              <w:jc w:val="center"/>
              <w:rPr>
                <w:szCs w:val="21"/>
              </w:rPr>
            </w:pPr>
            <w:r>
              <w:rPr>
                <w:szCs w:val="21"/>
              </w:rPr>
              <w:t>GB/T 32606—2016</w:t>
            </w:r>
          </w:p>
        </w:tc>
      </w:tr>
      <w:tr w14:paraId="013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tcBorders>
              <w:top w:val="single" w:color="auto" w:sz="4" w:space="0"/>
              <w:left w:val="single" w:color="auto" w:sz="4" w:space="0"/>
              <w:bottom w:val="single" w:color="auto" w:sz="4" w:space="0"/>
              <w:right w:val="single" w:color="auto" w:sz="4" w:space="0"/>
            </w:tcBorders>
            <w:noWrap w:val="0"/>
            <w:vAlign w:val="center"/>
          </w:tcPr>
          <w:p w14:paraId="32C7FAB1">
            <w:pPr>
              <w:jc w:val="center"/>
              <w:rPr>
                <w:szCs w:val="21"/>
              </w:rPr>
            </w:pPr>
            <w:r>
              <w:rPr>
                <w:szCs w:val="21"/>
              </w:rPr>
              <w:t>3</w:t>
            </w:r>
          </w:p>
        </w:tc>
        <w:tc>
          <w:tcPr>
            <w:tcW w:w="2134" w:type="pct"/>
            <w:tcBorders>
              <w:top w:val="single" w:color="auto" w:sz="4" w:space="0"/>
              <w:left w:val="single" w:color="auto" w:sz="4" w:space="0"/>
              <w:bottom w:val="single" w:color="auto" w:sz="4" w:space="0"/>
              <w:right w:val="single" w:color="auto" w:sz="4" w:space="0"/>
            </w:tcBorders>
            <w:noWrap w:val="0"/>
            <w:vAlign w:val="center"/>
          </w:tcPr>
          <w:p w14:paraId="059AE011">
            <w:pPr>
              <w:spacing w:line="360" w:lineRule="exact"/>
              <w:jc w:val="center"/>
              <w:rPr>
                <w:szCs w:val="21"/>
              </w:rPr>
            </w:pPr>
            <w:r>
              <w:rPr>
                <w:szCs w:val="21"/>
              </w:rPr>
              <w:t>可分解有害芳香胺染料</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3B05E8F6">
            <w:pPr>
              <w:jc w:val="center"/>
              <w:rPr>
                <w:szCs w:val="21"/>
              </w:rPr>
            </w:pPr>
            <w:r>
              <w:rPr>
                <w:szCs w:val="21"/>
              </w:rPr>
              <w:t>GB/T 17592—2024</w:t>
            </w:r>
          </w:p>
          <w:p w14:paraId="3B77F48A">
            <w:pPr>
              <w:jc w:val="center"/>
              <w:rPr>
                <w:szCs w:val="21"/>
              </w:rPr>
            </w:pPr>
            <w:r>
              <w:rPr>
                <w:szCs w:val="21"/>
              </w:rPr>
              <w:t>GB/T 23344—2009</w:t>
            </w:r>
          </w:p>
        </w:tc>
      </w:tr>
      <w:tr w14:paraId="6958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tcBorders>
              <w:top w:val="single" w:color="auto" w:sz="4" w:space="0"/>
              <w:left w:val="single" w:color="auto" w:sz="4" w:space="0"/>
              <w:bottom w:val="single" w:color="auto" w:sz="4" w:space="0"/>
              <w:right w:val="single" w:color="auto" w:sz="4" w:space="0"/>
            </w:tcBorders>
            <w:noWrap w:val="0"/>
            <w:vAlign w:val="center"/>
          </w:tcPr>
          <w:p w14:paraId="3F07D2A9">
            <w:pPr>
              <w:jc w:val="center"/>
              <w:rPr>
                <w:szCs w:val="21"/>
              </w:rPr>
            </w:pPr>
            <w:r>
              <w:rPr>
                <w:szCs w:val="21"/>
              </w:rPr>
              <w:t>4</w:t>
            </w:r>
          </w:p>
        </w:tc>
        <w:tc>
          <w:tcPr>
            <w:tcW w:w="2134" w:type="pct"/>
            <w:tcBorders>
              <w:top w:val="single" w:color="auto" w:sz="4" w:space="0"/>
              <w:left w:val="single" w:color="auto" w:sz="4" w:space="0"/>
              <w:bottom w:val="single" w:color="auto" w:sz="4" w:space="0"/>
              <w:right w:val="single" w:color="auto" w:sz="4" w:space="0"/>
            </w:tcBorders>
            <w:noWrap w:val="0"/>
            <w:vAlign w:val="center"/>
          </w:tcPr>
          <w:p w14:paraId="4D06D3CF">
            <w:pPr>
              <w:spacing w:line="360" w:lineRule="exact"/>
              <w:jc w:val="center"/>
              <w:rPr>
                <w:szCs w:val="21"/>
              </w:rPr>
            </w:pPr>
            <w:r>
              <w:rPr>
                <w:szCs w:val="21"/>
              </w:rPr>
              <w:t>可触及的塑料件中邻苯二甲酸酯增塑剂的限量</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0526C511">
            <w:pPr>
              <w:jc w:val="center"/>
              <w:rPr>
                <w:szCs w:val="21"/>
              </w:rPr>
            </w:pPr>
            <w:r>
              <w:rPr>
                <w:kern w:val="0"/>
                <w:szCs w:val="21"/>
              </w:rPr>
              <w:t>GB/T 22048</w:t>
            </w:r>
            <w:r>
              <w:rPr>
                <w:szCs w:val="21"/>
              </w:rPr>
              <w:t>—</w:t>
            </w:r>
            <w:r>
              <w:rPr>
                <w:kern w:val="0"/>
                <w:szCs w:val="21"/>
              </w:rPr>
              <w:t>2022</w:t>
            </w:r>
          </w:p>
        </w:tc>
      </w:tr>
    </w:tbl>
    <w:p w14:paraId="7CC2ABA2">
      <w:pPr>
        <w:adjustRightInd w:val="0"/>
        <w:snapToGrid w:val="0"/>
        <w:spacing w:line="440" w:lineRule="exact"/>
        <w:jc w:val="center"/>
        <w:rPr>
          <w:color w:val="auto"/>
          <w:szCs w:val="21"/>
        </w:rPr>
      </w:pPr>
      <w:r>
        <w:rPr>
          <w:color w:val="auto"/>
          <w:szCs w:val="21"/>
        </w:rPr>
        <w:t>表</w:t>
      </w:r>
      <w:r>
        <w:rPr>
          <w:rFonts w:hint="eastAsia"/>
          <w:color w:val="auto"/>
          <w:szCs w:val="21"/>
          <w:lang w:val="en-US" w:eastAsia="zh-CN"/>
        </w:rPr>
        <w:t>4</w:t>
      </w:r>
      <w:r>
        <w:rPr>
          <w:color w:val="auto"/>
          <w:szCs w:val="21"/>
        </w:rPr>
        <w:t xml:space="preserve"> </w:t>
      </w:r>
      <w:r>
        <w:rPr>
          <w:rFonts w:hint="eastAsia"/>
          <w:color w:val="auto"/>
          <w:szCs w:val="21"/>
          <w:lang w:val="en-US" w:eastAsia="zh-CN"/>
        </w:rPr>
        <w:t>儿童用品</w:t>
      </w:r>
      <w:r>
        <w:rPr>
          <w:color w:val="auto"/>
          <w:szCs w:val="21"/>
        </w:rPr>
        <w:t>（</w:t>
      </w:r>
      <w:r>
        <w:rPr>
          <w:rFonts w:hint="eastAsia"/>
          <w:color w:val="auto"/>
          <w:szCs w:val="21"/>
          <w:lang w:val="en-US" w:eastAsia="zh-CN"/>
        </w:rPr>
        <w:t>儿童拖鞋</w:t>
      </w:r>
      <w:r>
        <w:rPr>
          <w:color w:val="auto"/>
          <w:szCs w:val="21"/>
        </w:rPr>
        <w:t>）</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3680"/>
        <w:gridCol w:w="4194"/>
      </w:tblGrid>
      <w:tr w14:paraId="441B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14:paraId="4BBF8F6C">
            <w:pPr>
              <w:jc w:val="center"/>
              <w:rPr>
                <w:color w:val="auto"/>
                <w:szCs w:val="21"/>
              </w:rPr>
            </w:pPr>
            <w:r>
              <w:rPr>
                <w:color w:val="auto"/>
                <w:szCs w:val="21"/>
              </w:rPr>
              <w:t>序号</w:t>
            </w:r>
          </w:p>
        </w:tc>
        <w:tc>
          <w:tcPr>
            <w:tcW w:w="2030" w:type="pct"/>
            <w:tcBorders>
              <w:top w:val="single" w:color="auto" w:sz="4" w:space="0"/>
              <w:left w:val="single" w:color="auto" w:sz="4" w:space="0"/>
              <w:bottom w:val="single" w:color="auto" w:sz="4" w:space="0"/>
              <w:right w:val="single" w:color="auto" w:sz="4" w:space="0"/>
            </w:tcBorders>
            <w:noWrap w:val="0"/>
            <w:vAlign w:val="center"/>
          </w:tcPr>
          <w:p w14:paraId="20A6B7CA">
            <w:pPr>
              <w:jc w:val="center"/>
              <w:rPr>
                <w:color w:val="auto"/>
                <w:szCs w:val="21"/>
              </w:rPr>
            </w:pPr>
            <w:r>
              <w:rPr>
                <w:color w:val="auto"/>
                <w:szCs w:val="21"/>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1691FAD2">
            <w:pPr>
              <w:jc w:val="center"/>
              <w:rPr>
                <w:color w:val="auto"/>
                <w:szCs w:val="21"/>
              </w:rPr>
            </w:pPr>
            <w:r>
              <w:rPr>
                <w:color w:val="auto"/>
                <w:szCs w:val="21"/>
              </w:rPr>
              <w:t>检验方法</w:t>
            </w:r>
          </w:p>
        </w:tc>
      </w:tr>
      <w:tr w14:paraId="12AC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14:paraId="5BFBA6CB">
            <w:pPr>
              <w:jc w:val="center"/>
              <w:rPr>
                <w:color w:val="auto"/>
                <w:szCs w:val="21"/>
              </w:rPr>
            </w:pPr>
            <w:r>
              <w:rPr>
                <w:color w:val="auto"/>
                <w:szCs w:val="21"/>
              </w:rPr>
              <w:t>1</w:t>
            </w:r>
          </w:p>
        </w:tc>
        <w:tc>
          <w:tcPr>
            <w:tcW w:w="2030" w:type="pct"/>
            <w:tcBorders>
              <w:top w:val="single" w:color="auto" w:sz="4" w:space="0"/>
              <w:left w:val="single" w:color="auto" w:sz="4" w:space="0"/>
              <w:bottom w:val="single" w:color="auto" w:sz="4" w:space="0"/>
              <w:right w:val="single" w:color="auto" w:sz="4" w:space="0"/>
            </w:tcBorders>
            <w:noWrap w:val="0"/>
            <w:vAlign w:val="center"/>
          </w:tcPr>
          <w:p w14:paraId="23A3A5D2">
            <w:pPr>
              <w:jc w:val="center"/>
              <w:rPr>
                <w:color w:val="auto"/>
                <w:szCs w:val="21"/>
              </w:rPr>
            </w:pPr>
            <w:r>
              <w:rPr>
                <w:rFonts w:hint="eastAsia" w:cs="宋体"/>
                <w:color w:val="auto"/>
                <w:sz w:val="21"/>
                <w:szCs w:val="21"/>
                <w:lang w:val="en-US" w:eastAsia="zh-CN" w:bidi="ar-SA"/>
              </w:rPr>
              <w:t>邻苯二甲酸酯（增塑剂）</w:t>
            </w:r>
          </w:p>
        </w:tc>
        <w:tc>
          <w:tcPr>
            <w:tcW w:w="2314" w:type="pct"/>
            <w:tcBorders>
              <w:top w:val="single" w:color="auto" w:sz="4" w:space="0"/>
              <w:left w:val="single" w:color="auto" w:sz="4" w:space="0"/>
              <w:bottom w:val="single" w:color="auto" w:sz="4" w:space="0"/>
              <w:right w:val="single" w:color="auto" w:sz="4" w:space="0"/>
            </w:tcBorders>
            <w:noWrap w:val="0"/>
            <w:vAlign w:val="center"/>
          </w:tcPr>
          <w:p w14:paraId="33274073">
            <w:pPr>
              <w:jc w:val="center"/>
              <w:rPr>
                <w:rFonts w:ascii="Times New Roman" w:hAnsi="Times New Roman" w:cs="Times New Roman"/>
                <w:color w:val="auto"/>
              </w:rPr>
            </w:pPr>
            <w:r>
              <w:rPr>
                <w:rFonts w:ascii="Times New Roman" w:hAnsi="Times New Roman" w:cs="Times New Roman"/>
                <w:color w:val="auto"/>
              </w:rPr>
              <w:t>ISO 16181—1:2021</w:t>
            </w:r>
          </w:p>
          <w:p w14:paraId="4436A241">
            <w:pPr>
              <w:jc w:val="center"/>
              <w:rPr>
                <w:rFonts w:ascii="Times New Roman" w:hAnsi="Times New Roman" w:cs="Times New Roman"/>
                <w:color w:val="auto"/>
              </w:rPr>
            </w:pPr>
            <w:r>
              <w:rPr>
                <w:rFonts w:ascii="Times New Roman" w:hAnsi="Times New Roman" w:cs="Times New Roman"/>
                <w:color w:val="auto"/>
              </w:rPr>
              <w:t>GB/T 32440.1—2023</w:t>
            </w:r>
          </w:p>
        </w:tc>
      </w:tr>
    </w:tbl>
    <w:p w14:paraId="273025A8">
      <w:pPr>
        <w:adjustRightInd w:val="0"/>
        <w:snapToGrid w:val="0"/>
        <w:spacing w:line="440" w:lineRule="exact"/>
        <w:rPr>
          <w:szCs w:val="21"/>
        </w:rPr>
      </w:pPr>
      <w:r>
        <w:rPr>
          <w:szCs w:val="21"/>
        </w:rPr>
        <w:t>执行企业标准、团体标准、地方标准的产品，检验项目参照上述内容执行。</w:t>
      </w:r>
    </w:p>
    <w:p w14:paraId="5604DFB2">
      <w:pPr>
        <w:snapToGrid w:val="0"/>
        <w:spacing w:line="440" w:lineRule="exact"/>
        <w:ind w:firstLine="359" w:firstLineChars="171"/>
        <w:rPr>
          <w:szCs w:val="21"/>
        </w:rPr>
      </w:pPr>
    </w:p>
    <w:p w14:paraId="28D54512">
      <w:pPr>
        <w:spacing w:line="440" w:lineRule="exact"/>
        <w:rPr>
          <w:rFonts w:eastAsia="黑体"/>
          <w:szCs w:val="21"/>
        </w:rPr>
      </w:pPr>
      <w:r>
        <w:rPr>
          <w:rFonts w:eastAsia="黑体"/>
          <w:szCs w:val="21"/>
        </w:rPr>
        <w:t>3 判定规则</w:t>
      </w:r>
    </w:p>
    <w:p w14:paraId="624FC349">
      <w:pPr>
        <w:snapToGrid w:val="0"/>
        <w:spacing w:line="440" w:lineRule="exact"/>
        <w:rPr>
          <w:szCs w:val="21"/>
        </w:rPr>
      </w:pPr>
      <w:r>
        <w:rPr>
          <w:szCs w:val="21"/>
        </w:rPr>
        <w:t>3.1依据标准</w:t>
      </w:r>
    </w:p>
    <w:p w14:paraId="0774275B">
      <w:pPr>
        <w:adjustRightInd w:val="0"/>
        <w:snapToGrid w:val="0"/>
        <w:spacing w:line="440" w:lineRule="exact"/>
        <w:ind w:firstLine="420" w:firstLineChars="200"/>
        <w:rPr>
          <w:szCs w:val="21"/>
        </w:rPr>
      </w:pPr>
      <w:r>
        <w:rPr>
          <w:szCs w:val="21"/>
        </w:rPr>
        <w:t>GB 21027—2020 学生用品的安全通用要求</w:t>
      </w:r>
    </w:p>
    <w:p w14:paraId="57D74EA8">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6675.1</w:t>
      </w:r>
      <w:r>
        <w:rPr>
          <w:szCs w:val="21"/>
        </w:rPr>
        <w:t>—</w:t>
      </w:r>
      <w:r>
        <w:rPr>
          <w:rFonts w:hint="eastAsia" w:ascii="Times New Roman" w:hAnsi="Times New Roman" w:eastAsia="宋体" w:cs="Times New Roman"/>
          <w:szCs w:val="21"/>
        </w:rPr>
        <w:t>2014 玩具安全 第1部分：基本规范</w:t>
      </w:r>
    </w:p>
    <w:p w14:paraId="575EC126">
      <w:pPr>
        <w:adjustRightInd w:val="0"/>
        <w:snapToGrid w:val="0"/>
        <w:spacing w:line="44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GB 6675.4</w:t>
      </w:r>
      <w:r>
        <w:rPr>
          <w:szCs w:val="21"/>
        </w:rPr>
        <w:t>—</w:t>
      </w:r>
      <w:r>
        <w:rPr>
          <w:rFonts w:hint="eastAsia" w:ascii="Times New Roman" w:hAnsi="Times New Roman" w:eastAsia="宋体" w:cs="Times New Roman"/>
          <w:szCs w:val="21"/>
        </w:rPr>
        <w:t>2014玩具安全 第4部分：特定元素的迁移</w:t>
      </w:r>
    </w:p>
    <w:p w14:paraId="43DFB273">
      <w:pPr>
        <w:adjustRightInd w:val="0"/>
        <w:snapToGrid w:val="0"/>
        <w:spacing w:line="4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 30585</w:t>
      </w:r>
      <w:r>
        <w:rPr>
          <w:rFonts w:ascii="Times New Roman" w:hAnsi="Times New Roman" w:eastAsia="宋体" w:cs="Times New Roman"/>
          <w:szCs w:val="21"/>
        </w:rPr>
        <w:t>—</w:t>
      </w:r>
      <w:r>
        <w:rPr>
          <w:rFonts w:hint="default" w:ascii="Times New Roman" w:hAnsi="Times New Roman" w:eastAsia="宋体" w:cs="Times New Roman"/>
          <w:szCs w:val="21"/>
        </w:rPr>
        <w:t>2024 童鞋安全技术规范</w:t>
      </w:r>
    </w:p>
    <w:p w14:paraId="0FA8895C">
      <w:pPr>
        <w:adjustRightInd w:val="0"/>
        <w:snapToGrid w:val="0"/>
        <w:spacing w:line="440" w:lineRule="exact"/>
        <w:ind w:firstLine="420" w:firstLineChars="200"/>
        <w:rPr>
          <w:rFonts w:ascii="Times New Roman" w:hAnsi="Times New Roman" w:eastAsia="宋体" w:cs="Times New Roman"/>
          <w:szCs w:val="21"/>
        </w:rPr>
      </w:pPr>
      <w:r>
        <w:rPr>
          <w:rFonts w:hint="default" w:ascii="Times New Roman" w:hAnsi="Times New Roman" w:eastAsia="宋体" w:cs="Times New Roman"/>
          <w:szCs w:val="21"/>
        </w:rPr>
        <w:t>GB 30585</w:t>
      </w:r>
      <w:r>
        <w:rPr>
          <w:rFonts w:ascii="Times New Roman" w:hAnsi="Times New Roman" w:eastAsia="宋体" w:cs="Times New Roman"/>
          <w:szCs w:val="21"/>
        </w:rPr>
        <w:t>—</w:t>
      </w:r>
      <w:r>
        <w:rPr>
          <w:rFonts w:hint="default" w:ascii="Times New Roman" w:hAnsi="Times New Roman" w:eastAsia="宋体" w:cs="Times New Roman"/>
          <w:szCs w:val="21"/>
        </w:rPr>
        <w:t>2014 儿童鞋安全技术规范</w:t>
      </w:r>
    </w:p>
    <w:p w14:paraId="0072578D">
      <w:pPr>
        <w:snapToGrid w:val="0"/>
        <w:spacing w:line="440" w:lineRule="exact"/>
        <w:ind w:firstLine="420" w:firstLineChars="200"/>
        <w:rPr>
          <w:szCs w:val="21"/>
        </w:rPr>
      </w:pPr>
      <w:r>
        <w:rPr>
          <w:szCs w:val="21"/>
        </w:rPr>
        <w:t>现行有效的企业标准、团体标准、地方标准及产品明示质量要求</w:t>
      </w:r>
    </w:p>
    <w:p w14:paraId="2F6DFE33">
      <w:pPr>
        <w:snapToGrid w:val="0"/>
        <w:spacing w:line="440" w:lineRule="exact"/>
        <w:rPr>
          <w:szCs w:val="21"/>
        </w:rPr>
      </w:pPr>
      <w:r>
        <w:rPr>
          <w:szCs w:val="21"/>
        </w:rPr>
        <w:t>3.2判定原则</w:t>
      </w:r>
    </w:p>
    <w:p w14:paraId="59C91942">
      <w:pPr>
        <w:snapToGrid w:val="0"/>
        <w:spacing w:line="440" w:lineRule="exact"/>
        <w:ind w:firstLine="420" w:firstLineChars="200"/>
        <w:rPr>
          <w:szCs w:val="21"/>
        </w:rPr>
      </w:pPr>
      <w:r>
        <w:rPr>
          <w:szCs w:val="21"/>
        </w:rPr>
        <w:t>经检验，检验项目全部合格，判定为被抽查产品所检项目未发现不合格；检验项目中任一项或一项以上不合格，判定为被抽查产品不合格。</w:t>
      </w:r>
    </w:p>
    <w:p w14:paraId="73FCF2DD">
      <w:pPr>
        <w:snapToGrid w:val="0"/>
        <w:spacing w:line="440" w:lineRule="exact"/>
        <w:ind w:firstLine="417" w:firstLineChars="199"/>
        <w:rPr>
          <w:szCs w:val="21"/>
        </w:rPr>
      </w:pPr>
      <w:r>
        <w:rPr>
          <w:szCs w:val="21"/>
        </w:rPr>
        <w:t>若被检产品明示的质量要求高于本细则中检验项目依据的标准要求时，应按被检产品明示的质量要求判定。</w:t>
      </w:r>
    </w:p>
    <w:p w14:paraId="1CA6F19E">
      <w:pPr>
        <w:snapToGrid w:val="0"/>
        <w:spacing w:line="440" w:lineRule="exact"/>
        <w:ind w:firstLine="417" w:firstLineChars="199"/>
        <w:rPr>
          <w:szCs w:val="21"/>
        </w:rPr>
      </w:pPr>
      <w:r>
        <w:rPr>
          <w:szCs w:val="21"/>
        </w:rPr>
        <w:t>若被检产品明示的质量要求低于本细则中检验项目依据的强制性标准要求时，应按照强制性标准要求判定。</w:t>
      </w:r>
    </w:p>
    <w:p w14:paraId="5F3C83BE">
      <w:pPr>
        <w:snapToGrid w:val="0"/>
        <w:spacing w:line="440" w:lineRule="exact"/>
        <w:ind w:firstLine="417" w:firstLineChars="199"/>
        <w:rPr>
          <w:szCs w:val="21"/>
        </w:rPr>
      </w:pPr>
      <w:r>
        <w:rPr>
          <w:szCs w:val="21"/>
        </w:rPr>
        <w:t>若被检产品明示的质量要求低于或包含本细则中检验项目依据的推荐性标准要求时，应以被检产品明示的质量要求判定。</w:t>
      </w:r>
    </w:p>
    <w:p w14:paraId="12E6AAC2">
      <w:pPr>
        <w:snapToGrid w:val="0"/>
        <w:spacing w:line="440" w:lineRule="exact"/>
        <w:ind w:firstLine="417" w:firstLineChars="199"/>
        <w:rPr>
          <w:szCs w:val="21"/>
        </w:rPr>
      </w:pPr>
      <w:r>
        <w:rPr>
          <w:szCs w:val="21"/>
        </w:rPr>
        <w:t>若被检产品明示的质量要求缺少本细则中检验项目依据的强制性标准要求时，应按照强制性标准要求判定。</w:t>
      </w:r>
    </w:p>
    <w:p w14:paraId="5DC6A632">
      <w:pPr>
        <w:snapToGrid w:val="0"/>
        <w:spacing w:line="440" w:lineRule="exact"/>
        <w:ind w:firstLine="417" w:firstLineChars="199"/>
        <w:rPr>
          <w:szCs w:val="21"/>
        </w:rPr>
      </w:pPr>
      <w:r>
        <w:rPr>
          <w:szCs w:val="21"/>
        </w:rPr>
        <w:t>若被检产品明示的质量要求缺少本细则中检验项目依据的推荐性标准要求时，该项目不参与判定。</w:t>
      </w:r>
    </w:p>
    <w:p w14:paraId="2F8E87FB">
      <w:pPr>
        <w:snapToGrid w:val="0"/>
        <w:spacing w:line="440" w:lineRule="exact"/>
        <w:ind w:firstLine="417" w:firstLineChars="199"/>
        <w:rPr>
          <w:szCs w:val="21"/>
        </w:rPr>
      </w:pPr>
    </w:p>
    <w:p w14:paraId="097B24A7"/>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4B62">
    <w:pPr>
      <w:pStyle w:val="2"/>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p w14:paraId="0393DC8B">
    <w:pPr>
      <w:pStyle w:val="2"/>
      <w:tabs>
        <w:tab w:val="left" w:pos="5010"/>
        <w:tab w:val="clear" w:pos="4153"/>
        <w:tab w:val="clear" w:pos="8306"/>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43DB">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64AA7498">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FD7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A57A6"/>
    <w:rsid w:val="0BCE695A"/>
    <w:rsid w:val="104511A7"/>
    <w:rsid w:val="10F1736F"/>
    <w:rsid w:val="2F2B0F7C"/>
    <w:rsid w:val="427474D1"/>
    <w:rsid w:val="526F5493"/>
    <w:rsid w:val="66A74E64"/>
    <w:rsid w:val="6B0300E7"/>
    <w:rsid w:val="6C5D1A55"/>
    <w:rsid w:val="6DAA57A6"/>
    <w:rsid w:val="7C17375F"/>
    <w:rsid w:val="7D84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1315</Characters>
  <Lines>0</Lines>
  <Paragraphs>0</Paragraphs>
  <TotalTime>0</TotalTime>
  <ScaleCrop>false</ScaleCrop>
  <LinksUpToDate>false</LinksUpToDate>
  <CharactersWithSpaces>1357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2025-07-08T01:57:00Z</dcterms:created>
  <dc:creator>ss</dc:creator>
  <cp:lastModifiedBy>卢金灿</cp:lastModifiedBy>
  <dcterms:modified xsi:type="dcterms:W3CDTF">2025-08-21T07:29:56Z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E3D9B01CAE60470DB43DCAA63E451D53_11</vt:lpwstr>
  </property>
  <property fmtid="{D5CDD505-2E9C-101B-9397-08002B2CF9AE}" pid="4" name="KSOTemplateDocerSaveRecord">
    <vt:lpwstr>eyJoZGlkIjoiZWZmMDBhNDU1MzlmNjFkZjUyOTE2ZTc0NzFiNmMwMTAiLCJ1c2VySWQiOiIxNjQ0OTk5NjQ3In0=</vt:lpwstr>
  </property>
</Properties>
</file>