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109F1">
      <w:pPr>
        <w:spacing w:line="620" w:lineRule="exact"/>
        <w:jc w:val="center"/>
        <w:rPr>
          <w:rFonts w:hint="eastAsia" w:ascii="方正小标宋简体" w:hAnsi="方正小标宋简体" w:eastAsia="方正小标宋简体" w:cs="方正小标宋简体"/>
          <w:bCs/>
          <w:color w:val="000000"/>
          <w:sz w:val="44"/>
          <w:szCs w:val="44"/>
        </w:rPr>
      </w:pP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广州市花都区2025年度第五十八批次城镇建设用地（启源大道东地块）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广州市花都区2025年度第五十八批次城镇建设用地（启源大道东地块）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广州市花都区2025年度第五十八批次城镇建设用地（启源大道东地块）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花山镇洛场村、两龙村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土地面积共8.3085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17.79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0389212D">
      <w:pPr>
        <w:pStyle w:val="2"/>
        <w:rPr>
          <w:rFonts w:hint="eastAsia" w:ascii="黑体" w:hAnsi="黑体" w:eastAsia="黑体" w:cs="黑体"/>
        </w:rPr>
      </w:pPr>
    </w:p>
    <w:p w14:paraId="7568D2A1">
      <w:pPr>
        <w:pStyle w:val="2"/>
        <w:rPr>
          <w:rFonts w:hint="eastAsia" w:ascii="黑体" w:hAnsi="黑体" w:eastAsia="黑体" w:cs="黑体"/>
        </w:rPr>
      </w:pPr>
    </w:p>
    <w:p w14:paraId="752D6A12">
      <w:pPr>
        <w:pStyle w:val="2"/>
        <w:rPr>
          <w:rFonts w:hint="eastAsia" w:ascii="黑体" w:hAnsi="黑体" w:eastAsia="黑体" w:cs="黑体"/>
        </w:rPr>
      </w:pPr>
    </w:p>
    <w:p w14:paraId="32AAFEFD">
      <w:pPr>
        <w:pStyle w:val="2"/>
        <w:rPr>
          <w:rFonts w:hint="eastAsia" w:ascii="黑体" w:hAnsi="黑体" w:eastAsia="黑体" w:cs="黑体"/>
        </w:rPr>
      </w:pPr>
    </w:p>
    <w:p w14:paraId="725B7DAC">
      <w:pPr>
        <w:pStyle w:val="2"/>
        <w:rPr>
          <w:rFonts w:hint="eastAsia" w:ascii="黑体" w:hAnsi="黑体" w:eastAsia="黑体" w:cs="黑体"/>
        </w:rPr>
      </w:pPr>
    </w:p>
    <w:p w14:paraId="51B5AA5B">
      <w:pPr>
        <w:pStyle w:val="2"/>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洛场村第六经济合作社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10.18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两龙村张庄经济合作社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3.5520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7.61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8.3085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17.79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2BD5A4B"/>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ED67027"/>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A932E5D"/>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2025-07-14T07:43:37Z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6D922A67602040BAAA318DF528D68DC2_13</vt:lpwstr>
  </property>
</Properties>
</file>