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Arial"/>
          <w:b/>
          <w:sz w:val="30"/>
          <w:szCs w:val="30"/>
        </w:rPr>
      </w:pPr>
      <w:bookmarkStart w:id="0" w:name="_Toc46738290"/>
      <w:bookmarkStart w:id="1" w:name="_Toc46738417"/>
      <w:bookmarkStart w:id="2" w:name="_Toc75917307"/>
      <w:bookmarkStart w:id="3" w:name="_Toc359310573"/>
      <w:bookmarkStart w:id="4" w:name="_Toc518605395"/>
      <w:bookmarkStart w:id="5" w:name="_Toc535633952"/>
      <w:bookmarkStart w:id="6" w:name="_Toc12118373"/>
      <w:bookmarkStart w:id="7" w:name="_Toc46738156"/>
      <w:r>
        <w:rPr>
          <w:rFonts w:hint="eastAsia" w:ascii="微软雅黑" w:hAnsi="微软雅黑" w:eastAsia="微软雅黑" w:cs="Arial"/>
          <w:b/>
          <w:sz w:val="30"/>
          <w:szCs w:val="30"/>
        </w:rPr>
        <w:t>广州市规划和自然资源局花都区分局网络及终端设备运维服务采购项目</w:t>
      </w:r>
      <w:r>
        <w:rPr>
          <w:rFonts w:hint="eastAsia" w:ascii="微软雅黑" w:hAnsi="微软雅黑" w:eastAsia="微软雅黑" w:cs="Arial"/>
          <w:b/>
          <w:sz w:val="28"/>
          <w:szCs w:val="28"/>
        </w:rPr>
        <w:t>采购需求</w:t>
      </w: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85"/>
        <w:gridCol w:w="978"/>
        <w:gridCol w:w="33"/>
        <w:gridCol w:w="507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cs="宋体"/>
                <w:sz w:val="24"/>
              </w:rPr>
            </w:pPr>
            <w:r>
              <w:rPr>
                <w:rFonts w:hint="eastAsia" w:ascii="微软雅黑" w:hAnsi="微软雅黑" w:eastAsia="微软雅黑"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spacing w:line="360" w:lineRule="auto"/>
              <w:jc w:val="center"/>
              <w:rPr>
                <w:rFonts w:ascii="微软雅黑" w:hAnsi="微软雅黑" w:eastAsia="微软雅黑"/>
                <w:sz w:val="24"/>
              </w:rPr>
            </w:pPr>
            <w:r>
              <w:rPr>
                <w:rFonts w:hint="eastAsia" w:ascii="微软雅黑" w:hAnsi="微软雅黑" w:eastAsia="微软雅黑"/>
                <w:sz w:val="24"/>
              </w:rPr>
              <w:t>1</w:t>
            </w:r>
          </w:p>
        </w:tc>
        <w:tc>
          <w:tcPr>
            <w:tcW w:w="8887" w:type="dxa"/>
            <w:gridSpan w:val="5"/>
            <w:vAlign w:val="center"/>
          </w:tcPr>
          <w:p>
            <w:pPr>
              <w:pStyle w:val="11"/>
              <w:numPr>
                <w:ilvl w:val="0"/>
                <w:numId w:val="1"/>
              </w:numPr>
              <w:spacing w:line="360" w:lineRule="auto"/>
              <w:ind w:firstLineChars="0"/>
              <w:jc w:val="left"/>
              <w:rPr>
                <w:rStyle w:val="12"/>
                <w:rFonts w:ascii="微软雅黑" w:hAnsi="微软雅黑" w:eastAsia="微软雅黑"/>
                <w:sz w:val="24"/>
              </w:rPr>
            </w:pPr>
            <w:r>
              <w:rPr>
                <w:rFonts w:hint="eastAsia" w:ascii="微软雅黑" w:hAnsi="微软雅黑" w:eastAsia="微软雅黑"/>
                <w:sz w:val="24"/>
              </w:rPr>
              <w:t>符合《政府采购法》第二十二条供应商资格条件</w:t>
            </w:r>
            <w:r>
              <w:rPr>
                <w:rFonts w:hint="eastAsia" w:ascii="微软雅黑" w:hAnsi="微软雅黑" w:eastAsia="微软雅黑" w:cs="Arial"/>
                <w:sz w:val="24"/>
              </w:rPr>
              <w:t>；</w:t>
            </w:r>
            <w:r>
              <w:rPr>
                <w:rStyle w:val="12"/>
                <w:rFonts w:hint="eastAsia" w:ascii="微软雅黑" w:hAnsi="微软雅黑" w:eastAsia="微软雅黑"/>
                <w:sz w:val="24"/>
              </w:rPr>
              <w:t>分公司投标的，必须由具有法人资格的总公司授权。</w:t>
            </w:r>
          </w:p>
          <w:p>
            <w:pPr>
              <w:pStyle w:val="11"/>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在中华人民共和国注册的具有独立承担民事责任能力的法人或其他组织，具有相关业务经营资质，具备相关的项目工作经验和在花都区持续跟进服务的能力。</w:t>
            </w:r>
          </w:p>
          <w:p>
            <w:pPr>
              <w:pStyle w:val="11"/>
              <w:numPr>
                <w:ilvl w:val="0"/>
                <w:numId w:val="1"/>
              </w:numPr>
              <w:spacing w:line="360" w:lineRule="auto"/>
              <w:ind w:firstLineChars="0"/>
              <w:jc w:val="left"/>
              <w:rPr>
                <w:rFonts w:ascii="微软雅黑" w:hAnsi="微软雅黑" w:eastAsia="微软雅黑"/>
                <w:sz w:val="24"/>
              </w:rPr>
            </w:pPr>
            <w:r>
              <w:rPr>
                <w:rFonts w:hint="eastAsia" w:ascii="微软雅黑" w:hAnsi="微软雅黑" w:eastAsia="微软雅黑"/>
                <w:sz w:val="24"/>
              </w:rPr>
              <w:t>具有增值电信业务经营许可证书</w:t>
            </w:r>
          </w:p>
          <w:p>
            <w:pPr>
              <w:pStyle w:val="11"/>
              <w:numPr>
                <w:ilvl w:val="0"/>
                <w:numId w:val="1"/>
              </w:numPr>
              <w:spacing w:line="360" w:lineRule="auto"/>
              <w:ind w:firstLineChars="0"/>
              <w:rPr>
                <w:rFonts w:ascii="微软雅黑" w:hAnsi="微软雅黑" w:eastAsia="微软雅黑"/>
                <w:sz w:val="24"/>
              </w:rPr>
            </w:pPr>
            <w:r>
              <w:rPr>
                <w:rFonts w:hint="eastAsia" w:ascii="微软雅黑" w:hAnsi="微软雅黑" w:eastAsia="微软雅黑"/>
                <w:sz w:val="24"/>
              </w:rPr>
              <w:t>成交供应商需承诺按照《中华人民共和国社会保险法》和《住房公积金管理条例》的相关规定，对本项目运维驻场人员支付国家规定必须购买的社会保险费用（基本养老保险、基本医疗保险、工伤保险、失业保险、生育保险）和缴存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采购范围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spacing w:line="360" w:lineRule="auto"/>
              <w:jc w:val="center"/>
              <w:rPr>
                <w:rFonts w:ascii="微软雅黑" w:hAnsi="微软雅黑" w:eastAsia="微软雅黑" w:cs="宋体"/>
                <w:sz w:val="24"/>
              </w:rPr>
            </w:pPr>
            <w:r>
              <w:rPr>
                <w:rFonts w:hint="eastAsia" w:ascii="微软雅黑" w:hAnsi="微软雅黑" w:eastAsia="微软雅黑" w:cs="宋体"/>
                <w:sz w:val="24"/>
              </w:rPr>
              <w:t>1</w:t>
            </w:r>
          </w:p>
        </w:tc>
        <w:tc>
          <w:tcPr>
            <w:tcW w:w="1796" w:type="dxa"/>
            <w:gridSpan w:val="3"/>
            <w:vAlign w:val="center"/>
          </w:tcPr>
          <w:p>
            <w:pPr>
              <w:spacing w:line="360" w:lineRule="auto"/>
              <w:jc w:val="center"/>
              <w:rPr>
                <w:rFonts w:ascii="微软雅黑" w:hAnsi="微软雅黑" w:eastAsia="微软雅黑" w:cs="宋体"/>
                <w:sz w:val="24"/>
              </w:rPr>
            </w:pPr>
            <w:r>
              <w:rPr>
                <w:rFonts w:hint="eastAsia" w:ascii="微软雅黑" w:hAnsi="微软雅黑" w:eastAsia="微软雅黑"/>
                <w:sz w:val="24"/>
              </w:rPr>
              <w:t>采购内容</w:t>
            </w:r>
          </w:p>
        </w:tc>
        <w:tc>
          <w:tcPr>
            <w:tcW w:w="7091" w:type="dxa"/>
            <w:gridSpan w:val="2"/>
            <w:vAlign w:val="center"/>
          </w:tcPr>
          <w:p>
            <w:pPr>
              <w:pStyle w:val="3"/>
              <w:ind w:left="0" w:firstLine="480" w:firstLineChars="200"/>
              <w:rPr>
                <w:rFonts w:ascii="微软雅黑" w:hAnsi="微软雅黑" w:eastAsia="微软雅黑" w:cs="仿宋_GB2312"/>
                <w:szCs w:val="24"/>
              </w:rPr>
            </w:pPr>
            <w:r>
              <w:rPr>
                <w:rFonts w:hint="eastAsia" w:ascii="微软雅黑" w:hAnsi="微软雅黑" w:eastAsia="微软雅黑"/>
              </w:rPr>
              <w:t>广州市规划和自然资源局花都区分局网络及终端设备运维服务采购项目需求如下：</w:t>
            </w:r>
            <w:r>
              <w:rPr>
                <w:rFonts w:hint="eastAsia" w:ascii="微软雅黑" w:hAnsi="微软雅黑" w:eastAsia="微软雅黑" w:cs="仿宋_GB2312"/>
                <w:szCs w:val="24"/>
              </w:rPr>
              <w:t>网络设备维护及安全服务、会议系统</w:t>
            </w:r>
          </w:p>
          <w:p>
            <w:pPr>
              <w:spacing w:line="360" w:lineRule="auto"/>
              <w:rPr>
                <w:rFonts w:ascii="微软雅黑" w:hAnsi="微软雅黑" w:eastAsia="微软雅黑" w:cs="宋体"/>
                <w:sz w:val="24"/>
              </w:rPr>
            </w:pPr>
            <w:r>
              <w:rPr>
                <w:rFonts w:hint="eastAsia" w:ascii="微软雅黑" w:hAnsi="微软雅黑" w:eastAsia="微软雅黑" w:cs="仿宋_GB2312"/>
                <w:sz w:val="24"/>
              </w:rPr>
              <w:t>、桌面及终端设备进行一年维护。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cs="宋体"/>
                <w:sz w:val="24"/>
              </w:rPr>
            </w:pPr>
            <w:r>
              <w:rPr>
                <w:rFonts w:hint="eastAsia" w:ascii="微软雅黑" w:hAnsi="微软雅黑" w:eastAsia="微软雅黑" w:cs="宋体"/>
                <w:sz w:val="24"/>
              </w:rPr>
              <w:t>项目工期要求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28" w:type="dxa"/>
            <w:gridSpan w:val="6"/>
            <w:vAlign w:val="center"/>
          </w:tcPr>
          <w:p>
            <w:pPr>
              <w:spacing w:line="360" w:lineRule="auto"/>
              <w:ind w:right="-53" w:firstLine="430"/>
              <w:rPr>
                <w:rFonts w:ascii="微软雅黑" w:hAnsi="微软雅黑" w:eastAsia="微软雅黑" w:cs="Arial"/>
                <w:sz w:val="24"/>
              </w:rPr>
            </w:pPr>
            <w:r>
              <w:rPr>
                <w:rFonts w:hint="eastAsia" w:ascii="微软雅黑" w:hAnsi="微软雅黑" w:eastAsia="微软雅黑" w:cs="Arial"/>
                <w:sz w:val="24"/>
              </w:rPr>
              <w:t>□从</w:t>
            </w:r>
            <w:r>
              <w:rPr>
                <w:rFonts w:hint="eastAsia" w:ascii="微软雅黑" w:hAnsi="微软雅黑" w:eastAsia="微软雅黑"/>
                <w:sz w:val="24"/>
              </w:rPr>
              <w:t xml:space="preserve">合同签订之日起 </w:t>
            </w:r>
            <w:r>
              <w:rPr>
                <w:rFonts w:hint="eastAsia" w:ascii="微软雅黑" w:hAnsi="微软雅黑" w:eastAsia="微软雅黑"/>
                <w:sz w:val="24"/>
                <w:u w:val="single"/>
              </w:rPr>
              <w:t xml:space="preserve">    12  </w:t>
            </w:r>
            <w:r>
              <w:rPr>
                <w:rFonts w:hint="eastAsia" w:ascii="微软雅黑" w:hAnsi="微软雅黑" w:eastAsia="微软雅黑"/>
                <w:sz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项目背景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pStyle w:val="13"/>
              <w:spacing w:before="312" w:beforeLines="100" w:after="312" w:afterLines="100" w:line="360" w:lineRule="auto"/>
              <w:ind w:firstLine="480" w:firstLineChars="200"/>
              <w:jc w:val="left"/>
              <w:rPr>
                <w:rFonts w:ascii="微软雅黑" w:hAnsi="微软雅黑" w:eastAsia="微软雅黑"/>
                <w:sz w:val="24"/>
              </w:rPr>
            </w:pPr>
            <w:r>
              <w:rPr>
                <w:rFonts w:hint="eastAsia" w:ascii="微软雅黑" w:hAnsi="微软雅黑" w:eastAsia="微软雅黑"/>
                <w:sz w:val="24"/>
              </w:rPr>
              <w:t>随着政府机关业务信息化程度的提高，对信息化系统的稳定运行要求越来越高，政府单位内部、外部用户都对信息部门的技术支持服务提出了很高的要求。市规划和自然资源局花都区分局桌面终端数量多，网络复杂，终端分布广、使用人员类别复杂，桌面计算机事件和问题日益增多，依靠市规划和自然资源局花都区分局自有技术力量无法应付，信息化运维承受巨大的压力，每天面对大量的技术问题，为了全面提升IT服务水平，整合IT管理流程，优化IT资源配置，使我局人员可以集中精力进行规划、管理和辅助决策等建设重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运维目标需求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0" w:hRule="atLeast"/>
          <w:jc w:val="center"/>
        </w:trPr>
        <w:tc>
          <w:tcPr>
            <w:tcW w:w="9628" w:type="dxa"/>
            <w:gridSpan w:val="6"/>
            <w:vAlign w:val="center"/>
          </w:tcPr>
          <w:p>
            <w:pPr>
              <w:spacing w:line="360" w:lineRule="auto"/>
              <w:ind w:firstLine="560"/>
              <w:rPr>
                <w:rFonts w:ascii="微软雅黑" w:hAnsi="微软雅黑" w:eastAsia="微软雅黑" w:cs="仿宋_GB2312"/>
                <w:b/>
                <w:sz w:val="24"/>
              </w:rPr>
            </w:pPr>
            <w:r>
              <w:rPr>
                <w:rFonts w:hint="eastAsia" w:ascii="微软雅黑" w:hAnsi="微软雅黑" w:eastAsia="微软雅黑" w:cs="仿宋_GB2312"/>
                <w:b/>
                <w:sz w:val="24"/>
              </w:rPr>
              <w:t>项目具体的维护目标预定如下：</w:t>
            </w:r>
          </w:p>
          <w:p>
            <w:pPr>
              <w:spacing w:line="360" w:lineRule="auto"/>
              <w:ind w:firstLine="480" w:firstLineChars="200"/>
              <w:rPr>
                <w:rFonts w:ascii="微软雅黑" w:hAnsi="微软雅黑" w:eastAsia="微软雅黑"/>
                <w:sz w:val="24"/>
              </w:rPr>
            </w:pPr>
            <w:r>
              <w:rPr>
                <w:rFonts w:hint="eastAsia" w:ascii="微软雅黑" w:hAnsi="微软雅黑" w:eastAsia="微软雅黑"/>
                <w:sz w:val="24"/>
              </w:rPr>
              <w:t>本期运维项目的总体目标是在现有维护体系的基础上，进一步完善和提升系统运维的手段和内容，维护广州市规划和自然资源局花都区分局、各镇街规划和自然资源所，确保日常办公及对外办事窗口等业务的稳定运行。</w:t>
            </w:r>
          </w:p>
          <w:p>
            <w:pPr>
              <w:spacing w:line="360" w:lineRule="auto"/>
              <w:ind w:firstLine="480" w:firstLineChars="200"/>
              <w:rPr>
                <w:rFonts w:ascii="微软雅黑" w:hAnsi="微软雅黑" w:eastAsia="微软雅黑"/>
                <w:sz w:val="24"/>
              </w:rPr>
            </w:pPr>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7"/>
              <w:gridCol w:w="5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2"/>
                  <w:vAlign w:val="center"/>
                </w:tcPr>
                <w:p>
                  <w:pPr>
                    <w:spacing w:line="360" w:lineRule="auto"/>
                    <w:rPr>
                      <w:rFonts w:ascii="微软雅黑" w:hAnsi="微软雅黑" w:eastAsia="微软雅黑"/>
                      <w:sz w:val="24"/>
                    </w:rPr>
                  </w:pPr>
                  <w:r>
                    <w:rPr>
                      <w:rFonts w:hint="eastAsia" w:ascii="微软雅黑" w:hAnsi="微软雅黑" w:eastAsia="微软雅黑" w:cs="宋体"/>
                      <w:sz w:val="24"/>
                    </w:rPr>
                    <w:t>运维服务的范围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347" w:type="dxa"/>
                  <w:vAlign w:val="center"/>
                </w:tcPr>
                <w:p>
                  <w:pPr>
                    <w:pStyle w:val="6"/>
                    <w:shd w:val="clear" w:color="auto" w:fill="FFFFFF"/>
                    <w:spacing w:before="150" w:after="150" w:line="435" w:lineRule="atLeast"/>
                    <w:ind w:firstLine="480" w:firstLineChars="200"/>
                    <w:rPr>
                      <w:rFonts w:ascii="微软雅黑" w:hAnsi="微软雅黑" w:eastAsia="微软雅黑"/>
                      <w:sz w:val="24"/>
                    </w:rPr>
                  </w:pPr>
                  <w:r>
                    <w:rPr>
                      <w:rFonts w:hint="eastAsia" w:ascii="微软雅黑" w:hAnsi="MS Gothic" w:eastAsia="MS Gothic" w:cs="MS Gothic"/>
                      <w:sz w:val="24"/>
                      <w:szCs w:val="24"/>
                    </w:rPr>
                    <w:t>☑</w:t>
                  </w:r>
                  <w:r>
                    <w:rPr>
                      <w:rFonts w:hint="eastAsia" w:ascii="微软雅黑" w:hAnsi="微软雅黑" w:eastAsia="微软雅黑"/>
                      <w:sz w:val="24"/>
                    </w:rPr>
                    <w:t>信息化基础设备设施维护</w:t>
                  </w:r>
                </w:p>
                <w:p>
                  <w:pPr>
                    <w:pStyle w:val="6"/>
                    <w:shd w:val="clear" w:color="auto" w:fill="FFFFFF"/>
                    <w:spacing w:before="150" w:after="150" w:line="435" w:lineRule="atLeast"/>
                    <w:ind w:firstLine="480" w:firstLineChars="200"/>
                    <w:rPr>
                      <w:rFonts w:ascii="微软雅黑" w:hAnsi="微软雅黑" w:eastAsia="微软雅黑" w:cs="宋体"/>
                      <w:sz w:val="24"/>
                      <w:szCs w:val="24"/>
                    </w:rPr>
                  </w:pPr>
                  <w:r>
                    <w:rPr>
                      <w:rFonts w:hint="eastAsia" w:ascii="微软雅黑" w:hAnsi="微软雅黑" w:eastAsia="微软雅黑"/>
                      <w:sz w:val="24"/>
                    </w:rPr>
                    <w:t>（审批管理科统筹）</w:t>
                  </w:r>
                </w:p>
              </w:tc>
              <w:tc>
                <w:tcPr>
                  <w:tcW w:w="5281" w:type="dxa"/>
                  <w:vAlign w:val="center"/>
                </w:tcPr>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服务器与相关设备维护</w:t>
                  </w:r>
                </w:p>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办公自动化设备维护</w:t>
                  </w:r>
                </w:p>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网络和信息安全设备维护</w:t>
                  </w:r>
                </w:p>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机房环境维护</w:t>
                  </w:r>
                </w:p>
                <w:p>
                  <w:pPr>
                    <w:spacing w:line="360" w:lineRule="auto"/>
                    <w:ind w:right="-53" w:firstLine="430"/>
                    <w:rPr>
                      <w:rFonts w:hint="eastAsia" w:ascii="微软雅黑" w:hAnsi="微软雅黑" w:eastAsia="微软雅黑" w:cs="Arial"/>
                      <w:sz w:val="24"/>
                    </w:rPr>
                  </w:pPr>
                  <w:r>
                    <w:rPr>
                      <w:rFonts w:hint="eastAsia" w:ascii="微软雅黑" w:hAnsi="MS Gothic" w:eastAsia="MS Gothic" w:cs="MS Gothic"/>
                      <w:sz w:val="24"/>
                    </w:rPr>
                    <w:t>☑</w:t>
                  </w:r>
                  <w:r>
                    <w:rPr>
                      <w:rFonts w:hint="eastAsia" w:cs="MS Gothic" w:asciiTheme="minorEastAsia" w:hAnsiTheme="minorEastAsia" w:eastAsiaTheme="minorEastAsia"/>
                      <w:sz w:val="24"/>
                    </w:rPr>
                    <w:t>网络配线间线路维护，规范标识及配线方式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4347" w:type="dxa"/>
                  <w:vAlign w:val="bottom"/>
                </w:tcPr>
                <w:p>
                  <w:pPr>
                    <w:pStyle w:val="6"/>
                    <w:shd w:val="clear" w:color="auto" w:fill="FFFFFF"/>
                    <w:spacing w:before="150" w:after="150" w:line="360" w:lineRule="auto"/>
                    <w:ind w:firstLine="480" w:firstLineChars="200"/>
                    <w:jc w:val="both"/>
                    <w:rPr>
                      <w:rFonts w:ascii="微软雅黑" w:hAnsi="微软雅黑" w:eastAsia="微软雅黑"/>
                      <w:sz w:val="24"/>
                    </w:rPr>
                  </w:pPr>
                  <w:r>
                    <w:rPr>
                      <w:rFonts w:hint="eastAsia" w:ascii="微软雅黑" w:hAnsi="MS Gothic" w:eastAsia="MS Gothic" w:cs="MS Gothic"/>
                      <w:sz w:val="24"/>
                      <w:szCs w:val="24"/>
                    </w:rPr>
                    <w:t>☑</w:t>
                  </w:r>
                  <w:r>
                    <w:rPr>
                      <w:rFonts w:hint="eastAsia" w:ascii="微软雅黑" w:hAnsi="微软雅黑" w:eastAsia="微软雅黑"/>
                      <w:sz w:val="24"/>
                    </w:rPr>
                    <w:t>大楼基础设施维护</w:t>
                  </w:r>
                </w:p>
                <w:p>
                  <w:pPr>
                    <w:pStyle w:val="6"/>
                    <w:shd w:val="clear" w:color="auto" w:fill="FFFFFF"/>
                    <w:spacing w:before="150" w:after="150" w:line="360" w:lineRule="auto"/>
                    <w:ind w:firstLine="480" w:firstLineChars="200"/>
                    <w:jc w:val="both"/>
                    <w:rPr>
                      <w:rFonts w:ascii="微软雅黑" w:hAnsi="微软雅黑" w:eastAsia="微软雅黑"/>
                      <w:sz w:val="24"/>
                    </w:rPr>
                  </w:pPr>
                  <w:r>
                    <w:rPr>
                      <w:rFonts w:hint="eastAsia" w:ascii="微软雅黑" w:hAnsi="微软雅黑" w:eastAsia="微软雅黑"/>
                      <w:sz w:val="24"/>
                    </w:rPr>
                    <w:t>（办公室统筹）</w:t>
                  </w:r>
                </w:p>
              </w:tc>
              <w:tc>
                <w:tcPr>
                  <w:tcW w:w="5281" w:type="dxa"/>
                  <w:vAlign w:val="center"/>
                </w:tcPr>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会议室设备维护</w:t>
                  </w:r>
                </w:p>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视频会议系统维护</w:t>
                  </w:r>
                </w:p>
                <w:p>
                  <w:pPr>
                    <w:spacing w:line="360" w:lineRule="auto"/>
                    <w:ind w:right="-53" w:firstLine="430"/>
                    <w:rPr>
                      <w:rFonts w:ascii="微软雅黑" w:hAnsi="MS Gothic" w:eastAsia="MS Gothic" w:cs="MS Gothic"/>
                      <w:sz w:val="24"/>
                    </w:rPr>
                  </w:pPr>
                  <w:r>
                    <w:rPr>
                      <w:rFonts w:hint="eastAsia" w:ascii="微软雅黑" w:hAnsi="MS Gothic" w:eastAsia="MS Gothic" w:cs="MS Gothic"/>
                      <w:sz w:val="24"/>
                    </w:rPr>
                    <w:t>☑</w:t>
                  </w:r>
                  <w:r>
                    <w:rPr>
                      <w:rFonts w:hint="eastAsia" w:ascii="微软雅黑" w:hAnsi="微软雅黑" w:eastAsia="微软雅黑" w:cs="Arial"/>
                      <w:sz w:val="24"/>
                    </w:rPr>
                    <w:t>视频监控系统维护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347" w:type="dxa"/>
                  <w:vAlign w:val="center"/>
                </w:tcPr>
                <w:p>
                  <w:pPr>
                    <w:spacing w:line="360" w:lineRule="auto"/>
                    <w:ind w:right="-53" w:firstLine="430"/>
                    <w:rPr>
                      <w:rFonts w:ascii="微软雅黑" w:hAnsi="MS Gothic" w:cs="MS Gothic"/>
                      <w:sz w:val="24"/>
                    </w:rPr>
                  </w:pPr>
                  <w:r>
                    <w:rPr>
                      <w:rFonts w:hint="eastAsia" w:ascii="微软雅黑" w:hAnsi="MS Gothic" w:eastAsia="MS Gothic" w:cs="MS Gothic"/>
                      <w:sz w:val="24"/>
                    </w:rPr>
                    <w:t>☑</w:t>
                  </w:r>
                  <w:r>
                    <w:rPr>
                      <w:rFonts w:hint="eastAsia" w:ascii="微软雅黑" w:hAnsi="微软雅黑" w:eastAsia="微软雅黑"/>
                      <w:kern w:val="0"/>
                      <w:sz w:val="24"/>
                    </w:rPr>
                    <w:t>软件及信息资源维护</w:t>
                  </w:r>
                </w:p>
              </w:tc>
              <w:tc>
                <w:tcPr>
                  <w:tcW w:w="5281" w:type="dxa"/>
                  <w:vAlign w:val="center"/>
                </w:tcPr>
                <w:p>
                  <w:pPr>
                    <w:spacing w:line="360" w:lineRule="auto"/>
                    <w:ind w:right="-53" w:firstLine="430"/>
                    <w:rPr>
                      <w:rFonts w:ascii="微软雅黑" w:hAnsi="微软雅黑" w:eastAsia="微软雅黑" w:cs="Arial"/>
                      <w:sz w:val="24"/>
                    </w:rPr>
                  </w:pPr>
                  <w:r>
                    <w:rPr>
                      <w:rFonts w:hint="eastAsia" w:ascii="微软雅黑" w:hAnsi="MS Gothic" w:eastAsia="MS Gothic" w:cs="MS Gothic"/>
                      <w:sz w:val="24"/>
                    </w:rPr>
                    <w:t>☑</w:t>
                  </w:r>
                  <w:r>
                    <w:rPr>
                      <w:rFonts w:hint="eastAsia" w:ascii="微软雅黑" w:hAnsi="微软雅黑" w:eastAsia="微软雅黑" w:cs="Arial"/>
                      <w:sz w:val="24"/>
                    </w:rPr>
                    <w:t>业务系统终端应用维护</w:t>
                  </w:r>
                </w:p>
                <w:p>
                  <w:pPr>
                    <w:spacing w:line="360" w:lineRule="auto"/>
                    <w:ind w:right="-53" w:firstLine="430"/>
                    <w:rPr>
                      <w:rFonts w:ascii="微软雅黑" w:hAnsi="MS Gothic" w:cs="MS Gothic"/>
                      <w:sz w:val="24"/>
                    </w:rPr>
                  </w:pPr>
                  <w:r>
                    <w:rPr>
                      <w:rFonts w:hint="eastAsia" w:ascii="微软雅黑" w:hAnsi="MS Gothic" w:eastAsia="MS Gothic" w:cs="MS Gothic"/>
                      <w:sz w:val="24"/>
                    </w:rPr>
                    <w:t>☑</w:t>
                  </w:r>
                  <w:r>
                    <w:rPr>
                      <w:rFonts w:hint="eastAsia" w:ascii="微软雅黑" w:hAnsi="微软雅黑" w:eastAsia="微软雅黑" w:cs="Arial"/>
                      <w:sz w:val="24"/>
                    </w:rPr>
                    <w:t>工具软件维护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7" w:type="dxa"/>
                  <w:vAlign w:val="center"/>
                </w:tcPr>
                <w:p>
                  <w:pPr>
                    <w:spacing w:line="360" w:lineRule="auto"/>
                    <w:ind w:right="-53" w:firstLine="430"/>
                    <w:rPr>
                      <w:rFonts w:ascii="微软雅黑" w:hAnsi="微软雅黑" w:eastAsia="微软雅黑" w:cs="Arial"/>
                      <w:sz w:val="24"/>
                    </w:rPr>
                  </w:pPr>
                  <w:r>
                    <w:rPr>
                      <w:rFonts w:hint="eastAsia" w:ascii="微软雅黑" w:hAnsi="微软雅黑" w:eastAsia="微软雅黑" w:cs="Arial"/>
                      <w:sz w:val="24"/>
                    </w:rPr>
                    <w:sym w:font="Wingdings 2" w:char="00A3"/>
                  </w:r>
                  <w:r>
                    <w:rPr>
                      <w:rFonts w:hint="eastAsia" w:ascii="微软雅黑" w:hAnsi="微软雅黑" w:eastAsia="微软雅黑"/>
                      <w:kern w:val="0"/>
                      <w:sz w:val="24"/>
                    </w:rPr>
                    <w:t>其他运维服务</w:t>
                  </w:r>
                </w:p>
              </w:tc>
              <w:tc>
                <w:tcPr>
                  <w:tcW w:w="5281" w:type="dxa"/>
                  <w:vAlign w:val="center"/>
                </w:tcPr>
                <w:p>
                  <w:pPr>
                    <w:spacing w:line="360" w:lineRule="auto"/>
                    <w:ind w:right="-53" w:firstLine="430"/>
                    <w:rPr>
                      <w:rFonts w:ascii="微软雅黑" w:hAnsi="微软雅黑" w:eastAsia="微软雅黑" w:cs="Arial"/>
                      <w:sz w:val="24"/>
                    </w:rPr>
                  </w:pPr>
                </w:p>
              </w:tc>
            </w:tr>
          </w:tbl>
          <w:p>
            <w:pPr>
              <w:spacing w:line="360" w:lineRule="auto"/>
              <w:ind w:firstLine="480" w:firstLineChars="200"/>
              <w:rPr>
                <w:rFonts w:ascii="微软雅黑" w:hAnsi="微软雅黑" w:eastAsia="微软雅黑"/>
                <w:sz w:val="24"/>
              </w:rPr>
            </w:pPr>
          </w:p>
          <w:p>
            <w:pPr>
              <w:pStyle w:val="14"/>
              <w:spacing w:line="360" w:lineRule="auto"/>
              <w:ind w:firstLine="480" w:firstLineChars="200"/>
              <w:rPr>
                <w:rFonts w:ascii="微软雅黑" w:hAnsi="微软雅黑" w:eastAsia="微软雅黑" w:cs="仿宋_GB2312"/>
                <w:b/>
                <w:sz w:val="24"/>
              </w:rPr>
            </w:pPr>
            <w:r>
              <w:rPr>
                <w:rFonts w:hint="eastAsia" w:ascii="微软雅黑" w:hAnsi="微软雅黑" w:eastAsia="微软雅黑" w:cs="仿宋_GB2312"/>
                <w:b/>
                <w:sz w:val="24"/>
              </w:rPr>
              <w:t>项目具体的维护需求如下：</w:t>
            </w:r>
          </w:p>
          <w:p>
            <w:pPr>
              <w:pStyle w:val="2"/>
              <w:ind w:firstLine="480" w:firstLineChars="200"/>
              <w:rPr>
                <w:rFonts w:ascii="微软雅黑" w:hAnsi="微软雅黑" w:eastAsia="微软雅黑" w:cs="仿宋_GB2312"/>
                <w:sz w:val="24"/>
                <w:szCs w:val="24"/>
              </w:rPr>
            </w:pPr>
            <w:r>
              <w:rPr>
                <w:rFonts w:hint="eastAsia" w:ascii="微软雅黑" w:hAnsi="微软雅黑" w:eastAsia="微软雅黑" w:cs="仿宋_GB2312"/>
                <w:sz w:val="24"/>
                <w:szCs w:val="24"/>
              </w:rPr>
              <w:t>1.网络设备维护及安全服务</w:t>
            </w:r>
          </w:p>
          <w:p>
            <w:pPr>
              <w:pStyle w:val="15"/>
              <w:numPr>
                <w:ilvl w:val="0"/>
                <w:numId w:val="2"/>
              </w:numPr>
              <w:spacing w:line="360" w:lineRule="auto"/>
              <w:ind w:left="-539" w:leftChars="-257" w:firstLine="539"/>
              <w:rPr>
                <w:rFonts w:ascii="仿宋_GB2312" w:eastAsia="仿宋_GB2312"/>
                <w:b/>
                <w:sz w:val="24"/>
                <w:szCs w:val="24"/>
              </w:rPr>
            </w:pPr>
            <w:r>
              <w:rPr>
                <w:rFonts w:hint="eastAsia" w:ascii="仿宋_GB2312" w:eastAsia="仿宋_GB2312"/>
                <w:b/>
                <w:sz w:val="24"/>
                <w:szCs w:val="24"/>
              </w:rPr>
              <w:t>八楼中心机房设备</w:t>
            </w:r>
          </w:p>
          <w:p>
            <w:pPr>
              <w:pStyle w:val="3"/>
              <w:rPr>
                <w:rFonts w:ascii="Times New Roman" w:hAnsi="Times New Roman" w:eastAsia="宋体" w:cs="Times New Roman"/>
                <w:szCs w:val="20"/>
              </w:rPr>
            </w:pPr>
          </w:p>
          <w:tbl>
            <w:tblPr>
              <w:tblStyle w:val="9"/>
              <w:tblW w:w="8882"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507"/>
              <w:gridCol w:w="2260"/>
              <w:gridCol w:w="2037"/>
              <w:gridCol w:w="893"/>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ID</w:t>
                  </w:r>
                </w:p>
              </w:tc>
              <w:tc>
                <w:tcPr>
                  <w:tcW w:w="1507" w:type="dxa"/>
                </w:tcPr>
                <w:p>
                  <w:pPr>
                    <w:pStyle w:val="15"/>
                    <w:widowControl w:val="0"/>
                    <w:spacing w:line="360" w:lineRule="auto"/>
                    <w:jc w:val="both"/>
                    <w:rPr>
                      <w:b/>
                      <w:bCs/>
                    </w:rPr>
                  </w:pPr>
                  <w:r>
                    <w:rPr>
                      <w:rFonts w:hint="eastAsia" w:ascii="仿宋_GB2312" w:hAnsi="仿宋_GB2312" w:eastAsia="仿宋_GB2312" w:cs="仿宋_GB2312"/>
                      <w:b/>
                      <w:bCs/>
                      <w:sz w:val="24"/>
                      <w:szCs w:val="24"/>
                    </w:rPr>
                    <w:t>品牌</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型号</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操作系统</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数量</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2850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Windows2003</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2850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Windows2003</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2950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Windows2003</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R710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Windows2003</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5</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R710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Windows2008</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6</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R720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Windows2012</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7</w:t>
                  </w:r>
                </w:p>
              </w:tc>
              <w:tc>
                <w:tcPr>
                  <w:tcW w:w="1507" w:type="dxa"/>
                </w:tcPr>
                <w:p>
                  <w:pPr>
                    <w:pStyle w:val="15"/>
                    <w:widowControl w:val="0"/>
                    <w:spacing w:line="360" w:lineRule="auto"/>
                    <w:jc w:val="both"/>
                    <w:rPr>
                      <w:b/>
                      <w:bCs/>
                    </w:rPr>
                  </w:pPr>
                  <w:r>
                    <w:rPr>
                      <w:rFonts w:hint="eastAsia"/>
                      <w:b/>
                      <w:bCs/>
                    </w:rPr>
                    <w:t>HP</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ProLiant DL580 G7</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Windows2008</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8</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R720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VMware vSphere 6</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9</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MD3820f</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10</w:t>
                  </w:r>
                </w:p>
              </w:tc>
              <w:tc>
                <w:tcPr>
                  <w:tcW w:w="1507" w:type="dxa"/>
                </w:tcPr>
                <w:p>
                  <w:pPr>
                    <w:pStyle w:val="15"/>
                    <w:widowControl w:val="0"/>
                    <w:spacing w:line="360" w:lineRule="auto"/>
                    <w:jc w:val="both"/>
                    <w:rPr>
                      <w:b/>
                      <w:bCs/>
                    </w:rPr>
                  </w:pPr>
                  <w:r>
                    <w:rPr>
                      <w:rFonts w:hint="eastAsia"/>
                      <w:b/>
                      <w:bCs/>
                    </w:rPr>
                    <w:t>IBM</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P550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AIX6.0</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11</w:t>
                  </w:r>
                </w:p>
              </w:tc>
              <w:tc>
                <w:tcPr>
                  <w:tcW w:w="1507" w:type="dxa"/>
                </w:tcPr>
                <w:p>
                  <w:pPr>
                    <w:pStyle w:val="15"/>
                    <w:widowControl w:val="0"/>
                    <w:spacing w:line="360" w:lineRule="auto"/>
                    <w:jc w:val="both"/>
                    <w:rPr>
                      <w:b/>
                      <w:bCs/>
                    </w:rPr>
                  </w:pPr>
                  <w:r>
                    <w:rPr>
                      <w:rFonts w:hint="eastAsia"/>
                      <w:b/>
                      <w:bCs/>
                    </w:rPr>
                    <w:t>IBM</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V7000</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12</w:t>
                  </w:r>
                </w:p>
              </w:tc>
              <w:tc>
                <w:tcPr>
                  <w:tcW w:w="1507" w:type="dxa"/>
                </w:tcPr>
                <w:p>
                  <w:pPr>
                    <w:pStyle w:val="15"/>
                    <w:widowControl w:val="0"/>
                    <w:spacing w:line="360" w:lineRule="auto"/>
                    <w:jc w:val="both"/>
                    <w:rPr>
                      <w:b/>
                      <w:bCs/>
                    </w:rPr>
                  </w:pPr>
                  <w:r>
                    <w:rPr>
                      <w:rFonts w:hint="eastAsia"/>
                      <w:b/>
                      <w:bCs/>
                    </w:rPr>
                    <w:t>IBM</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DS5020</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13</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NF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14</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WAF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15</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SAS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16</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OSMS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17</w:t>
                  </w:r>
                </w:p>
              </w:tc>
              <w:tc>
                <w:tcPr>
                  <w:tcW w:w="1507" w:type="dxa"/>
                </w:tcPr>
                <w:p>
                  <w:pPr>
                    <w:pStyle w:val="15"/>
                    <w:widowControl w:val="0"/>
                    <w:spacing w:line="360" w:lineRule="auto"/>
                    <w:jc w:val="both"/>
                    <w:rPr>
                      <w:b/>
                      <w:bCs/>
                    </w:rPr>
                  </w:pPr>
                  <w:r>
                    <w:rPr>
                      <w:rFonts w:hint="eastAsia"/>
                      <w:b/>
                      <w:bCs/>
                    </w:rPr>
                    <w:t>绿盟</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SAS NX3 Series</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18</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PowerEdge R740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VMware vSphere 6</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3</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19</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SC 5020</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20</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PowerVault MD1200</w:t>
                  </w:r>
                </w:p>
              </w:tc>
              <w:tc>
                <w:tcPr>
                  <w:tcW w:w="2037" w:type="dxa"/>
                </w:tcPr>
                <w:p>
                  <w:pPr>
                    <w:pStyle w:val="15"/>
                    <w:widowControl w:val="0"/>
                    <w:spacing w:line="360" w:lineRule="auto"/>
                    <w:jc w:val="both"/>
                    <w:rPr>
                      <w:rFonts w:ascii="仿宋_GB2312" w:eastAsia="仿宋_GB2312"/>
                      <w:b/>
                      <w:sz w:val="24"/>
                      <w:szCs w:val="24"/>
                    </w:rPr>
                  </w:pP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98"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21</w:t>
                  </w:r>
                </w:p>
              </w:tc>
              <w:tc>
                <w:tcPr>
                  <w:tcW w:w="1507" w:type="dxa"/>
                </w:tcPr>
                <w:p>
                  <w:pPr>
                    <w:pStyle w:val="15"/>
                    <w:widowControl w:val="0"/>
                    <w:spacing w:line="360" w:lineRule="auto"/>
                    <w:jc w:val="both"/>
                    <w:rPr>
                      <w:b/>
                      <w:bCs/>
                    </w:rPr>
                  </w:pPr>
                  <w:r>
                    <w:rPr>
                      <w:rFonts w:hint="eastAsia"/>
                      <w:b/>
                      <w:bCs/>
                    </w:rPr>
                    <w:t>DELL</w:t>
                  </w:r>
                </w:p>
              </w:tc>
              <w:tc>
                <w:tcPr>
                  <w:tcW w:w="2260"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NX3240</w:t>
                  </w:r>
                </w:p>
              </w:tc>
              <w:tc>
                <w:tcPr>
                  <w:tcW w:w="203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Windows2016</w:t>
                  </w:r>
                </w:p>
              </w:tc>
              <w:tc>
                <w:tcPr>
                  <w:tcW w:w="893"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1</w:t>
                  </w:r>
                </w:p>
              </w:tc>
              <w:tc>
                <w:tcPr>
                  <w:tcW w:w="1587" w:type="dxa"/>
                </w:tcPr>
                <w:p>
                  <w:pPr>
                    <w:pStyle w:val="15"/>
                    <w:widowControl w:val="0"/>
                    <w:spacing w:line="360" w:lineRule="auto"/>
                    <w:jc w:val="both"/>
                    <w:rPr>
                      <w:rFonts w:ascii="仿宋_GB2312" w:eastAsia="仿宋_GB2312"/>
                      <w:b/>
                      <w:sz w:val="24"/>
                      <w:szCs w:val="24"/>
                    </w:rPr>
                  </w:pPr>
                  <w:r>
                    <w:rPr>
                      <w:rFonts w:hint="eastAsia" w:ascii="仿宋_GB2312" w:eastAsia="仿宋_GB2312"/>
                      <w:b/>
                      <w:sz w:val="24"/>
                      <w:szCs w:val="24"/>
                    </w:rPr>
                    <w:t>4</w:t>
                  </w:r>
                </w:p>
              </w:tc>
            </w:tr>
          </w:tbl>
          <w:p>
            <w:pPr>
              <w:pStyle w:val="15"/>
              <w:spacing w:line="360" w:lineRule="auto"/>
              <w:ind w:left="-539" w:leftChars="-257" w:firstLine="539"/>
              <w:rPr>
                <w:rFonts w:ascii="仿宋_GB2312" w:eastAsia="仿宋_GB2312"/>
                <w:b/>
                <w:sz w:val="24"/>
                <w:szCs w:val="24"/>
              </w:rPr>
            </w:pPr>
          </w:p>
          <w:p>
            <w:pPr>
              <w:pStyle w:val="15"/>
              <w:spacing w:line="360" w:lineRule="auto"/>
              <w:ind w:left="-539" w:leftChars="-257" w:firstLine="539"/>
              <w:rPr>
                <w:rFonts w:ascii="仿宋_GB2312" w:eastAsia="仿宋_GB2312"/>
                <w:b/>
                <w:sz w:val="24"/>
                <w:szCs w:val="24"/>
              </w:rPr>
            </w:pPr>
            <w:r>
              <w:rPr>
                <w:rFonts w:hint="eastAsia" w:ascii="仿宋_GB2312" w:eastAsia="仿宋_GB2312"/>
                <w:b/>
                <w:sz w:val="24"/>
                <w:szCs w:val="24"/>
              </w:rPr>
              <w:t>（2）八楼机房</w:t>
            </w:r>
            <w:r>
              <w:rPr>
                <w:rFonts w:ascii="仿宋_GB2312" w:eastAsia="仿宋_GB2312"/>
                <w:b/>
                <w:sz w:val="24"/>
                <w:szCs w:val="24"/>
              </w:rPr>
              <w:t>环境动力</w:t>
            </w:r>
            <w:r>
              <w:rPr>
                <w:rFonts w:hint="eastAsia" w:ascii="仿宋_GB2312" w:eastAsia="仿宋_GB2312"/>
                <w:b/>
                <w:sz w:val="24"/>
                <w:szCs w:val="24"/>
              </w:rPr>
              <w:t>设备</w:t>
            </w:r>
          </w:p>
          <w:tbl>
            <w:tblPr>
              <w:tblStyle w:val="9"/>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136"/>
              <w:gridCol w:w="1327"/>
              <w:gridCol w:w="1313"/>
              <w:gridCol w:w="13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设备名称</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型号</w:t>
                  </w: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位置</w:t>
                  </w:r>
                </w:p>
              </w:tc>
              <w:tc>
                <w:tcPr>
                  <w:tcW w:w="1313"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数量</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使用</w:t>
                  </w:r>
                  <w:r>
                    <w:rPr>
                      <w:rFonts w:ascii="仿宋_GB2312" w:hAnsi="宋体" w:eastAsia="仿宋_GB2312" w:cs="Tahoma"/>
                      <w:kern w:val="28"/>
                      <w:sz w:val="24"/>
                      <w:szCs w:val="24"/>
                    </w:rPr>
                    <w:t>年限</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精密空调</w:t>
                  </w:r>
                </w:p>
              </w:tc>
              <w:tc>
                <w:tcPr>
                  <w:tcW w:w="2136"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AIRSYS</w:t>
                  </w: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UPS(</w:t>
                  </w:r>
                  <w:r>
                    <w:rPr>
                      <w:rFonts w:ascii="仿宋_GB2312" w:hAnsi="宋体" w:eastAsia="仿宋_GB2312" w:cs="Tahoma"/>
                      <w:kern w:val="28"/>
                      <w:sz w:val="24"/>
                      <w:szCs w:val="24"/>
                    </w:rPr>
                    <w:t>不间断</w:t>
                  </w:r>
                  <w:r>
                    <w:fldChar w:fldCharType="begin"/>
                  </w:r>
                  <w:r>
                    <w:instrText xml:space="preserve"> HYPERLINK "http://baike.baidu.com/view/13542.htm" \t "_blank" </w:instrText>
                  </w:r>
                  <w:r>
                    <w:fldChar w:fldCharType="separate"/>
                  </w:r>
                  <w:r>
                    <w:rPr>
                      <w:rFonts w:ascii="仿宋_GB2312" w:hAnsi="宋体" w:eastAsia="仿宋_GB2312" w:cs="Tahoma"/>
                      <w:kern w:val="28"/>
                      <w:sz w:val="24"/>
                      <w:szCs w:val="24"/>
                    </w:rPr>
                    <w:t>电源</w:t>
                  </w:r>
                  <w:r>
                    <w:rPr>
                      <w:rFonts w:ascii="仿宋_GB2312" w:hAnsi="宋体" w:eastAsia="仿宋_GB2312" w:cs="Tahoma"/>
                      <w:kern w:val="28"/>
                      <w:sz w:val="24"/>
                      <w:szCs w:val="24"/>
                    </w:rPr>
                    <w:fldChar w:fldCharType="end"/>
                  </w:r>
                  <w:r>
                    <w:rPr>
                      <w:rFonts w:hint="eastAsia" w:ascii="仿宋_GB2312" w:hAnsi="宋体" w:eastAsia="仿宋_GB2312" w:cs="Tahoma"/>
                      <w:kern w:val="28"/>
                      <w:sz w:val="24"/>
                      <w:szCs w:val="24"/>
                    </w:rPr>
                    <w:t>)</w:t>
                  </w:r>
                </w:p>
              </w:tc>
              <w:tc>
                <w:tcPr>
                  <w:tcW w:w="2136"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CHAMPION</w:t>
                  </w: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气体自动灭火器</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2年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手提干粉灭火器</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1年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新风机</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1</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电话总线</w:t>
                  </w:r>
                </w:p>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配线架</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3</w:t>
                  </w:r>
                </w:p>
              </w:tc>
              <w:tc>
                <w:tcPr>
                  <w:tcW w:w="1314" w:type="dxa"/>
                </w:tcPr>
                <w:p>
                  <w:pPr>
                    <w:pStyle w:val="16"/>
                    <w:rPr>
                      <w:rFonts w:ascii="仿宋_GB2312" w:hAnsi="宋体" w:eastAsia="仿宋_GB2312" w:cs="Tahoma"/>
                      <w:kern w:val="28"/>
                      <w:sz w:val="24"/>
                      <w:szCs w:val="24"/>
                    </w:rPr>
                  </w:pP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电话线路</w:t>
                  </w:r>
                </w:p>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配线架</w:t>
                  </w:r>
                </w:p>
              </w:tc>
              <w:tc>
                <w:tcPr>
                  <w:tcW w:w="2136" w:type="dxa"/>
                </w:tcPr>
                <w:p>
                  <w:pPr>
                    <w:pStyle w:val="16"/>
                    <w:rPr>
                      <w:rFonts w:ascii="仿宋_GB2312" w:hAnsi="宋体" w:eastAsia="仿宋_GB2312" w:cs="Tahoma"/>
                      <w:kern w:val="28"/>
                      <w:sz w:val="24"/>
                      <w:szCs w:val="24"/>
                    </w:rPr>
                  </w:pPr>
                </w:p>
              </w:tc>
              <w:tc>
                <w:tcPr>
                  <w:tcW w:w="1327"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313"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8</w:t>
                  </w:r>
                </w:p>
              </w:tc>
              <w:tc>
                <w:tcPr>
                  <w:tcW w:w="1314" w:type="dxa"/>
                </w:tcPr>
                <w:p>
                  <w:pPr>
                    <w:pStyle w:val="16"/>
                    <w:rPr>
                      <w:rFonts w:ascii="仿宋_GB2312" w:hAnsi="宋体" w:eastAsia="仿宋_GB2312" w:cs="Tahoma"/>
                      <w:kern w:val="28"/>
                      <w:sz w:val="24"/>
                      <w:szCs w:val="24"/>
                    </w:rPr>
                  </w:pP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楼层配线</w:t>
                  </w:r>
                </w:p>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架接入层</w:t>
                  </w:r>
                </w:p>
              </w:tc>
            </w:tr>
          </w:tbl>
          <w:p>
            <w:pPr>
              <w:spacing w:line="360" w:lineRule="auto"/>
              <w:ind w:firstLine="360" w:firstLineChars="150"/>
              <w:jc w:val="left"/>
              <w:rPr>
                <w:rFonts w:ascii="宋体" w:hAnsi="宋体"/>
                <w:sz w:val="24"/>
              </w:rPr>
            </w:pPr>
          </w:p>
          <w:p>
            <w:pPr>
              <w:spacing w:line="360" w:lineRule="auto"/>
              <w:jc w:val="left"/>
              <w:rPr>
                <w:rFonts w:ascii="仿宋_GB2312" w:eastAsia="仿宋_GB2312"/>
                <w:b/>
                <w:kern w:val="0"/>
                <w:sz w:val="24"/>
              </w:rPr>
            </w:pPr>
            <w:r>
              <w:rPr>
                <w:rFonts w:hint="eastAsia" w:ascii="仿宋_GB2312" w:eastAsia="仿宋_GB2312"/>
                <w:b/>
                <w:kern w:val="0"/>
                <w:sz w:val="24"/>
              </w:rPr>
              <w:t>（3）网络交换机</w:t>
            </w:r>
          </w:p>
          <w:tbl>
            <w:tblPr>
              <w:tblStyle w:val="9"/>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136"/>
              <w:gridCol w:w="1482"/>
              <w:gridCol w:w="1158"/>
              <w:gridCol w:w="1314"/>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设备名称</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型号</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位置</w:t>
                  </w:r>
                </w:p>
              </w:tc>
              <w:tc>
                <w:tcPr>
                  <w:tcW w:w="1158"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数量</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使用</w:t>
                  </w:r>
                  <w:r>
                    <w:rPr>
                      <w:rFonts w:ascii="仿宋_GB2312" w:hAnsi="宋体" w:eastAsia="仿宋_GB2312" w:cs="Tahoma"/>
                      <w:kern w:val="28"/>
                      <w:sz w:val="24"/>
                      <w:szCs w:val="24"/>
                    </w:rPr>
                    <w:t>年限</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交换机</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H3C S7506E</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1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  1</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交换机 </w:t>
                  </w:r>
                </w:p>
              </w:tc>
              <w:tc>
                <w:tcPr>
                  <w:tcW w:w="2136"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H3C S6520-EI</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2</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color w:val="00B050"/>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 xml:space="preserve">交换机 </w:t>
                  </w:r>
                </w:p>
              </w:tc>
              <w:tc>
                <w:tcPr>
                  <w:tcW w:w="2136"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H3C S5560X-EI</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中心机房</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1</w:t>
                  </w:r>
                </w:p>
              </w:tc>
              <w:tc>
                <w:tcPr>
                  <w:tcW w:w="1314"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5年</w:t>
                  </w:r>
                </w:p>
              </w:tc>
              <w:tc>
                <w:tcPr>
                  <w:tcW w:w="1314" w:type="dxa"/>
                </w:tcPr>
                <w:p>
                  <w:pPr>
                    <w:pStyle w:val="16"/>
                    <w:rPr>
                      <w:rFonts w:ascii="仿宋_GB2312" w:hAnsi="宋体" w:eastAsia="仿宋_GB2312" w:cs="Tahoma"/>
                      <w:color w:val="00B050"/>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交换机</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H3C S5120-48P-EI</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楼层配线间</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14</w:t>
                  </w:r>
                </w:p>
              </w:tc>
              <w:tc>
                <w:tcPr>
                  <w:tcW w:w="1314"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12</w:t>
                  </w:r>
                  <w:r>
                    <w:rPr>
                      <w:rFonts w:hint="eastAsia" w:ascii="仿宋_GB2312" w:hAnsi="宋体" w:eastAsia="仿宋_GB2312" w:cs="Tahoma"/>
                      <w:kern w:val="28"/>
                      <w:sz w:val="24"/>
                      <w:szCs w:val="24"/>
                    </w:rPr>
                    <w:t>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交换机</w:t>
                  </w:r>
                </w:p>
              </w:tc>
              <w:tc>
                <w:tcPr>
                  <w:tcW w:w="2136"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H3C S5120-24P-EI</w:t>
                  </w: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楼层配线间</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3</w:t>
                  </w:r>
                </w:p>
              </w:tc>
              <w:tc>
                <w:tcPr>
                  <w:tcW w:w="1314" w:type="dxa"/>
                </w:tcPr>
                <w:p>
                  <w:pPr>
                    <w:pStyle w:val="16"/>
                    <w:rPr>
                      <w:rFonts w:ascii="仿宋_GB2312" w:hAnsi="宋体" w:eastAsia="仿宋_GB2312" w:cs="Tahoma"/>
                      <w:kern w:val="28"/>
                      <w:sz w:val="24"/>
                      <w:szCs w:val="24"/>
                    </w:rPr>
                  </w:pPr>
                  <w:r>
                    <w:rPr>
                      <w:rFonts w:ascii="仿宋_GB2312" w:hAnsi="宋体" w:eastAsia="仿宋_GB2312" w:cs="Tahoma"/>
                      <w:kern w:val="28"/>
                      <w:sz w:val="24"/>
                      <w:szCs w:val="24"/>
                    </w:rPr>
                    <w:t>12</w:t>
                  </w:r>
                  <w:r>
                    <w:rPr>
                      <w:rFonts w:hint="eastAsia" w:ascii="仿宋_GB2312" w:hAnsi="宋体" w:eastAsia="仿宋_GB2312" w:cs="Tahoma"/>
                      <w:kern w:val="28"/>
                      <w:sz w:val="24"/>
                      <w:szCs w:val="24"/>
                    </w:rPr>
                    <w:t>年</w:t>
                  </w:r>
                </w:p>
              </w:tc>
              <w:tc>
                <w:tcPr>
                  <w:tcW w:w="1314" w:type="dxa"/>
                </w:tcPr>
                <w:p>
                  <w:pPr>
                    <w:pStyle w:val="16"/>
                    <w:rPr>
                      <w:rFonts w:ascii="仿宋_GB2312" w:hAnsi="宋体" w:eastAsia="仿宋_GB2312" w:cs="Tahoma"/>
                      <w:kern w:val="2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8"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电话线路</w:t>
                  </w:r>
                </w:p>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配线架</w:t>
                  </w:r>
                </w:p>
              </w:tc>
              <w:tc>
                <w:tcPr>
                  <w:tcW w:w="2136" w:type="dxa"/>
                </w:tcPr>
                <w:p>
                  <w:pPr>
                    <w:pStyle w:val="16"/>
                    <w:rPr>
                      <w:rFonts w:ascii="仿宋_GB2312" w:hAnsi="宋体" w:eastAsia="仿宋_GB2312" w:cs="Tahoma"/>
                      <w:kern w:val="28"/>
                      <w:sz w:val="24"/>
                      <w:szCs w:val="24"/>
                    </w:rPr>
                  </w:pPr>
                </w:p>
              </w:tc>
              <w:tc>
                <w:tcPr>
                  <w:tcW w:w="1482" w:type="dxa"/>
                </w:tcPr>
                <w:p>
                  <w:pPr>
                    <w:pStyle w:val="16"/>
                    <w:rPr>
                      <w:rFonts w:ascii="仿宋_GB2312" w:hAnsi="宋体" w:eastAsia="仿宋_GB2312" w:cs="Tahoma"/>
                      <w:kern w:val="28"/>
                      <w:sz w:val="24"/>
                      <w:szCs w:val="24"/>
                    </w:rPr>
                  </w:pPr>
                  <w:r>
                    <w:rPr>
                      <w:rFonts w:hint="eastAsia" w:ascii="仿宋_GB2312" w:hAnsi="宋体" w:eastAsia="仿宋_GB2312" w:cs="Tahoma"/>
                      <w:kern w:val="28"/>
                      <w:sz w:val="24"/>
                      <w:szCs w:val="24"/>
                    </w:rPr>
                    <w:t>楼层配线间</w:t>
                  </w:r>
                </w:p>
              </w:tc>
              <w:tc>
                <w:tcPr>
                  <w:tcW w:w="1158" w:type="dxa"/>
                </w:tcPr>
                <w:p>
                  <w:pPr>
                    <w:pStyle w:val="16"/>
                    <w:ind w:firstLine="240" w:firstLineChars="100"/>
                    <w:rPr>
                      <w:rFonts w:ascii="仿宋_GB2312" w:hAnsi="宋体" w:eastAsia="仿宋_GB2312" w:cs="Tahoma"/>
                      <w:kern w:val="28"/>
                      <w:sz w:val="24"/>
                      <w:szCs w:val="24"/>
                    </w:rPr>
                  </w:pPr>
                  <w:r>
                    <w:rPr>
                      <w:rFonts w:hint="eastAsia" w:ascii="仿宋_GB2312" w:hAnsi="宋体" w:eastAsia="仿宋_GB2312" w:cs="Tahoma"/>
                      <w:kern w:val="28"/>
                      <w:sz w:val="24"/>
                      <w:szCs w:val="24"/>
                    </w:rPr>
                    <w:t>12</w:t>
                  </w:r>
                </w:p>
              </w:tc>
              <w:tc>
                <w:tcPr>
                  <w:tcW w:w="1314" w:type="dxa"/>
                </w:tcPr>
                <w:p>
                  <w:pPr>
                    <w:pStyle w:val="16"/>
                    <w:rPr>
                      <w:rFonts w:ascii="仿宋_GB2312" w:hAnsi="宋体" w:eastAsia="仿宋_GB2312" w:cs="Tahoma"/>
                      <w:kern w:val="28"/>
                      <w:sz w:val="24"/>
                      <w:szCs w:val="24"/>
                    </w:rPr>
                  </w:pPr>
                </w:p>
              </w:tc>
              <w:tc>
                <w:tcPr>
                  <w:tcW w:w="1314" w:type="dxa"/>
                </w:tcPr>
                <w:p>
                  <w:pPr>
                    <w:pStyle w:val="16"/>
                    <w:rPr>
                      <w:rFonts w:ascii="仿宋_GB2312" w:hAnsi="宋体" w:eastAsia="仿宋_GB2312" w:cs="Tahoma"/>
                      <w:kern w:val="28"/>
                      <w:sz w:val="24"/>
                      <w:szCs w:val="24"/>
                    </w:rPr>
                  </w:pPr>
                </w:p>
              </w:tc>
            </w:tr>
          </w:tbl>
          <w:p>
            <w:pPr>
              <w:spacing w:line="360" w:lineRule="auto"/>
              <w:jc w:val="left"/>
              <w:rPr>
                <w:rFonts w:ascii="仿宋_GB2312" w:eastAsia="仿宋_GB2312"/>
                <w:b/>
                <w:kern w:val="0"/>
                <w:sz w:val="24"/>
              </w:rPr>
            </w:pPr>
          </w:p>
          <w:p>
            <w:pPr>
              <w:pStyle w:val="18"/>
              <w:ind w:firstLine="480" w:firstLineChars="200"/>
            </w:pPr>
            <w:r>
              <w:rPr>
                <w:rFonts w:hint="eastAsia"/>
              </w:rPr>
              <w:t>1、范围</w:t>
            </w:r>
          </w:p>
          <w:p>
            <w:pPr>
              <w:pStyle w:val="19"/>
              <w:spacing w:beforeLines="0" w:afterLines="0"/>
            </w:pPr>
            <w:r>
              <w:rPr>
                <w:rFonts w:hint="eastAsia"/>
              </w:rPr>
              <w:t>广州市规划和自然资源局花都区分局机房动力设备、网络交换机、电话语音网络设备</w:t>
            </w:r>
            <w:r>
              <w:t>及其他应用、安全系统。</w:t>
            </w:r>
          </w:p>
          <w:p>
            <w:pPr>
              <w:pStyle w:val="18"/>
              <w:ind w:firstLine="480" w:firstLineChars="200"/>
            </w:pPr>
            <w:r>
              <w:rPr>
                <w:rFonts w:hint="eastAsia"/>
              </w:rPr>
              <w:t>2、内容</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负责AIX/Linux/Unix/Windows平台下服务器及网络设备的规划、使用、维护；</w:t>
            </w:r>
          </w:p>
          <w:p>
            <w:pPr>
              <w:pStyle w:val="17"/>
              <w:numPr>
                <w:ilvl w:val="0"/>
                <w:numId w:val="3"/>
              </w:numPr>
              <w:spacing w:line="360" w:lineRule="auto"/>
              <w:rPr>
                <w:rFonts w:hint="eastAsia" w:ascii="宋体" w:hAnsi="宋体"/>
                <w:kern w:val="0"/>
                <w:sz w:val="24"/>
                <w:szCs w:val="24"/>
              </w:rPr>
            </w:pPr>
            <w:r>
              <w:rPr>
                <w:rFonts w:hint="eastAsia" w:ascii="宋体" w:hAnsi="宋体"/>
                <w:kern w:val="0"/>
                <w:sz w:val="24"/>
                <w:szCs w:val="24"/>
              </w:rPr>
              <w:t>负责系统稳定运行、安全体系搭建、维护和优化；</w:t>
            </w:r>
          </w:p>
          <w:p>
            <w:pPr>
              <w:pStyle w:val="17"/>
              <w:numPr>
                <w:ilvl w:val="0"/>
                <w:numId w:val="3"/>
              </w:numPr>
              <w:spacing w:line="360" w:lineRule="auto"/>
              <w:rPr>
                <w:rFonts w:ascii="宋体" w:hAnsi="宋体"/>
                <w:kern w:val="0"/>
                <w:sz w:val="24"/>
                <w:szCs w:val="24"/>
              </w:rPr>
            </w:pPr>
            <w:r>
              <w:rPr>
                <w:rFonts w:ascii="宋体" w:hAnsi="宋体"/>
                <w:kern w:val="0"/>
                <w:sz w:val="24"/>
                <w:szCs w:val="24"/>
              </w:rPr>
              <w:t>全方位的系统、网络性能监控、优化</w:t>
            </w:r>
            <w:r>
              <w:rPr>
                <w:rFonts w:hint="eastAsia" w:ascii="宋体" w:hAnsi="宋体"/>
                <w:kern w:val="0"/>
                <w:sz w:val="24"/>
                <w:szCs w:val="24"/>
              </w:rPr>
              <w:t>针对市规划和自然资源局花都区分局自有管理权限的服务器，定期对服务器系统的运行状态和性能进行巡检，形成报告并附带优化建议；</w:t>
            </w:r>
          </w:p>
          <w:p>
            <w:pPr>
              <w:pStyle w:val="17"/>
              <w:numPr>
                <w:ilvl w:val="0"/>
                <w:numId w:val="3"/>
              </w:numPr>
              <w:spacing w:line="360" w:lineRule="auto"/>
              <w:rPr>
                <w:rFonts w:ascii="宋体" w:hAnsi="宋体"/>
                <w:kern w:val="0"/>
                <w:sz w:val="24"/>
                <w:szCs w:val="24"/>
              </w:rPr>
            </w:pPr>
            <w:r>
              <w:rPr>
                <w:rFonts w:ascii="宋体" w:hAnsi="宋体"/>
                <w:kern w:val="0"/>
                <w:sz w:val="24"/>
                <w:szCs w:val="24"/>
              </w:rPr>
              <w:t>各类故障及事务的应急响应、处理，协调，保证业务连续性；</w:t>
            </w:r>
          </w:p>
          <w:p>
            <w:pPr>
              <w:pStyle w:val="17"/>
              <w:numPr>
                <w:ilvl w:val="0"/>
                <w:numId w:val="3"/>
              </w:numPr>
              <w:spacing w:line="360" w:lineRule="auto"/>
              <w:rPr>
                <w:rFonts w:ascii="宋体" w:hAnsi="宋体"/>
                <w:kern w:val="0"/>
                <w:sz w:val="24"/>
                <w:szCs w:val="24"/>
              </w:rPr>
            </w:pPr>
            <w:r>
              <w:rPr>
                <w:rFonts w:ascii="宋体" w:hAnsi="宋体"/>
                <w:kern w:val="0"/>
                <w:sz w:val="24"/>
                <w:szCs w:val="24"/>
              </w:rPr>
              <w:t>配合</w:t>
            </w:r>
            <w:r>
              <w:rPr>
                <w:rFonts w:hint="eastAsia" w:ascii="宋体" w:hAnsi="宋体"/>
                <w:kern w:val="0"/>
                <w:sz w:val="24"/>
                <w:szCs w:val="24"/>
              </w:rPr>
              <w:t>其他岗位</w:t>
            </w:r>
            <w:r>
              <w:rPr>
                <w:rFonts w:ascii="宋体" w:hAnsi="宋体"/>
                <w:kern w:val="0"/>
                <w:sz w:val="24"/>
                <w:szCs w:val="24"/>
              </w:rPr>
              <w:t>完成系统升级、架构调优等测试或实施工作。</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定期进行运行环境检测、平台安全检测、操作系统、数据库、网络设备漏洞补丁升级及配置优化、安全产品审计和升级等；</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协助市规划和自然资源局花都区分局制订应急响应流程、业务持续性计划，提供7X24小时现场应急响应支持服务及电话咨询等；</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通过安全通告、电话咨询、技术交流等方式，为市规划和自然资源局花都区分局内部信息管理人员提供及时的安全信息和解决办法。实时通报新出现或可能出现的网络威胁进攻、病毒和漏洞，出现用户无法处理的病毒或网络攻击时，立即到现场给与支持。</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每日监控中心机房服务器的运行状态和健康状况。运行状态与监控包括服务器运行状态及网络流量等。内部业务系统工作日内监控，发现异常，立即报告并采取适当措施。服务器状态及网络流量等在工作日形成监测报告。</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对发生的故障进行已经授权的预处理；</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对所做处理作详细记录；</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按规定完成数据整理和备份。</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针对市规划和自然资源局花都区分局自有管理权限的服务器，完成有计划的系统升级、补丁升级地址变更、服务配置等工作；</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对局内的电话语音系统进行维护，主动配合电信运营商的工作。</w:t>
            </w:r>
          </w:p>
          <w:p>
            <w:pPr>
              <w:pStyle w:val="17"/>
              <w:numPr>
                <w:ilvl w:val="0"/>
                <w:numId w:val="3"/>
              </w:numPr>
              <w:spacing w:line="360" w:lineRule="auto"/>
              <w:rPr>
                <w:rFonts w:ascii="宋体" w:hAnsi="宋体"/>
                <w:kern w:val="0"/>
                <w:sz w:val="24"/>
                <w:szCs w:val="24"/>
              </w:rPr>
            </w:pPr>
            <w:r>
              <w:rPr>
                <w:rFonts w:hint="eastAsia" w:ascii="宋体" w:hAnsi="宋体"/>
                <w:kern w:val="0"/>
                <w:sz w:val="24"/>
                <w:szCs w:val="24"/>
              </w:rPr>
              <w:t>规范标识及配线方式，对局内一、三、五、八层各配线间的内部线路进行优化，定期巡查，提高网络的稳定性和可扩展性。</w:t>
            </w:r>
          </w:p>
          <w:p>
            <w:pPr>
              <w:pStyle w:val="17"/>
              <w:spacing w:line="360" w:lineRule="auto"/>
              <w:ind w:firstLine="600" w:firstLineChars="250"/>
              <w:rPr>
                <w:rFonts w:ascii="宋体" w:hAnsi="宋体"/>
                <w:kern w:val="0"/>
                <w:sz w:val="24"/>
                <w:szCs w:val="24"/>
              </w:rPr>
            </w:pPr>
            <w:r>
              <w:rPr>
                <w:rFonts w:hint="eastAsia" w:ascii="宋体" w:hAnsi="宋体"/>
                <w:kern w:val="0"/>
                <w:sz w:val="24"/>
                <w:szCs w:val="24"/>
              </w:rPr>
              <w:t>3、安全评估服务</w:t>
            </w:r>
          </w:p>
          <w:p>
            <w:pPr>
              <w:pStyle w:val="17"/>
              <w:spacing w:line="360" w:lineRule="auto"/>
              <w:ind w:firstLine="420"/>
              <w:rPr>
                <w:rFonts w:ascii="宋体" w:hAnsi="宋体"/>
                <w:kern w:val="0"/>
                <w:sz w:val="24"/>
                <w:szCs w:val="24"/>
              </w:rPr>
            </w:pPr>
            <w:r>
              <w:rPr>
                <w:rFonts w:hint="eastAsia" w:ascii="宋体" w:hAnsi="宋体"/>
                <w:kern w:val="0"/>
                <w:sz w:val="24"/>
                <w:szCs w:val="24"/>
              </w:rPr>
              <w:t>每年至少提供四次对市规划和自然资源局花都区分局网络中心机房及网络及服务器系统全面安全评估检测，进行漏洞扫描，硬件的巡检，结合常见的问题，确定系统漏洞与安全风险，提交安全评估报告，双方开会明确评估成果，方便市规划和自然资源局花都区分局管理人员根据报告了解当前信息系统的状态。</w:t>
            </w:r>
          </w:p>
          <w:p>
            <w:pPr>
              <w:pStyle w:val="17"/>
              <w:spacing w:line="360" w:lineRule="auto"/>
              <w:ind w:firstLine="600" w:firstLineChars="250"/>
              <w:rPr>
                <w:rFonts w:ascii="宋体" w:hAnsi="宋体"/>
                <w:kern w:val="0"/>
                <w:sz w:val="24"/>
                <w:szCs w:val="24"/>
              </w:rPr>
            </w:pPr>
            <w:r>
              <w:rPr>
                <w:rFonts w:hint="eastAsia" w:ascii="宋体" w:hAnsi="宋体"/>
                <w:kern w:val="0"/>
                <w:sz w:val="24"/>
                <w:szCs w:val="24"/>
              </w:rPr>
              <w:t>4、安全加固服务</w:t>
            </w:r>
          </w:p>
          <w:p>
            <w:pPr>
              <w:pStyle w:val="17"/>
              <w:spacing w:line="360" w:lineRule="auto"/>
              <w:ind w:firstLine="420"/>
              <w:rPr>
                <w:rFonts w:ascii="宋体" w:hAnsi="宋体"/>
                <w:kern w:val="0"/>
                <w:sz w:val="24"/>
                <w:szCs w:val="24"/>
              </w:rPr>
            </w:pPr>
            <w:r>
              <w:rPr>
                <w:rFonts w:hint="eastAsia" w:ascii="宋体" w:hAnsi="宋体"/>
                <w:kern w:val="0"/>
                <w:sz w:val="24"/>
                <w:szCs w:val="24"/>
              </w:rPr>
              <w:t>根据安全评估工作得出的报告，对采购人自有管理权限的全部服务器进行安全加固，增强系统的抗攻击性。</w:t>
            </w:r>
          </w:p>
          <w:p>
            <w:pPr>
              <w:pStyle w:val="3"/>
              <w:ind w:left="0" w:firstLine="480" w:firstLineChars="200"/>
              <w:rPr>
                <w:rFonts w:ascii="微软雅黑" w:hAnsi="微软雅黑" w:eastAsia="微软雅黑" w:cs="仿宋_GB2312"/>
                <w:b/>
                <w:szCs w:val="24"/>
              </w:rPr>
            </w:pPr>
            <w:r>
              <w:rPr>
                <w:rFonts w:hint="eastAsia" w:ascii="微软雅黑" w:hAnsi="微软雅黑" w:eastAsia="微软雅黑" w:cs="仿宋_GB2312"/>
                <w:b/>
                <w:szCs w:val="24"/>
              </w:rPr>
              <w:t>2. 会议系统</w:t>
            </w:r>
          </w:p>
          <w:p>
            <w:pPr>
              <w:spacing w:line="360" w:lineRule="auto"/>
              <w:ind w:firstLine="560"/>
              <w:rPr>
                <w:rFonts w:ascii="微软雅黑" w:hAnsi="微软雅黑" w:eastAsia="微软雅黑" w:cs="仿宋_GB2312"/>
                <w:sz w:val="24"/>
              </w:rPr>
            </w:pPr>
            <w:r>
              <w:rPr>
                <w:rFonts w:hint="eastAsia" w:ascii="微软雅黑" w:hAnsi="微软雅黑" w:eastAsia="微软雅黑" w:cs="仿宋_GB2312"/>
                <w:sz w:val="24"/>
              </w:rPr>
              <w:t>现状：</w:t>
            </w:r>
          </w:p>
          <w:p>
            <w:pPr>
              <w:pStyle w:val="15"/>
              <w:spacing w:line="360" w:lineRule="auto"/>
              <w:ind w:left="-539" w:leftChars="-257" w:firstLine="539"/>
            </w:pPr>
            <w:r>
              <w:rPr>
                <w:rFonts w:hint="eastAsia"/>
              </w:rPr>
              <w:t>（1）区局大楼会议室</w:t>
            </w:r>
          </w:p>
          <w:tbl>
            <w:tblPr>
              <w:tblStyle w:val="9"/>
              <w:tblW w:w="9298" w:type="dxa"/>
              <w:tblInd w:w="0" w:type="dxa"/>
              <w:tblLayout w:type="fixed"/>
              <w:tblCellMar>
                <w:top w:w="0" w:type="dxa"/>
                <w:left w:w="108" w:type="dxa"/>
                <w:bottom w:w="0" w:type="dxa"/>
                <w:right w:w="108" w:type="dxa"/>
              </w:tblCellMar>
            </w:tblPr>
            <w:tblGrid>
              <w:gridCol w:w="827"/>
              <w:gridCol w:w="1614"/>
              <w:gridCol w:w="389"/>
              <w:gridCol w:w="743"/>
              <w:gridCol w:w="5725"/>
            </w:tblGrid>
            <w:tr>
              <w:tblPrEx>
                <w:tblCellMar>
                  <w:top w:w="0" w:type="dxa"/>
                  <w:left w:w="108" w:type="dxa"/>
                  <w:bottom w:w="0" w:type="dxa"/>
                  <w:right w:w="108" w:type="dxa"/>
                </w:tblCellMar>
              </w:tblPrEx>
              <w:trPr>
                <w:trHeight w:val="301" w:hRule="atLeast"/>
              </w:trPr>
              <w:tc>
                <w:tcPr>
                  <w:tcW w:w="827" w:type="dxa"/>
                  <w:tcBorders>
                    <w:top w:val="single" w:color="auto" w:sz="4" w:space="0"/>
                    <w:left w:val="single" w:color="auto" w:sz="8" w:space="0"/>
                    <w:bottom w:val="single" w:color="auto" w:sz="4" w:space="0"/>
                    <w:right w:val="single" w:color="auto" w:sz="4" w:space="0"/>
                  </w:tcBorders>
                  <w:vAlign w:val="center"/>
                </w:tcPr>
                <w:p>
                  <w:pPr>
                    <w:pStyle w:val="15"/>
                    <w:spacing w:line="360" w:lineRule="auto"/>
                    <w:ind w:left="-539" w:leftChars="-257" w:firstLine="539"/>
                  </w:pPr>
                  <w:r>
                    <w:rPr>
                      <w:rFonts w:hint="eastAsia"/>
                    </w:rPr>
                    <w:t>楼层</w:t>
                  </w:r>
                </w:p>
              </w:tc>
              <w:tc>
                <w:tcPr>
                  <w:tcW w:w="1614"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会议室</w:t>
                  </w:r>
                </w:p>
              </w:tc>
              <w:tc>
                <w:tcPr>
                  <w:tcW w:w="389"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投影仪</w:t>
                  </w:r>
                </w:p>
              </w:tc>
              <w:tc>
                <w:tcPr>
                  <w:tcW w:w="743"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投影幕</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会议常用设备</w:t>
                  </w:r>
                </w:p>
              </w:tc>
            </w:tr>
            <w:tr>
              <w:tblPrEx>
                <w:tblCellMar>
                  <w:top w:w="0" w:type="dxa"/>
                  <w:left w:w="108" w:type="dxa"/>
                  <w:bottom w:w="0" w:type="dxa"/>
                  <w:right w:w="108" w:type="dxa"/>
                </w:tblCellMar>
              </w:tblPrEx>
              <w:trPr>
                <w:trHeight w:val="301" w:hRule="atLeast"/>
              </w:trPr>
              <w:tc>
                <w:tcPr>
                  <w:tcW w:w="827" w:type="dxa"/>
                  <w:vMerge w:val="restart"/>
                  <w:tcBorders>
                    <w:top w:val="nil"/>
                    <w:left w:val="single" w:color="auto" w:sz="8" w:space="0"/>
                    <w:right w:val="single" w:color="auto" w:sz="4" w:space="0"/>
                  </w:tcBorders>
                  <w:vAlign w:val="center"/>
                </w:tcPr>
                <w:p>
                  <w:pPr>
                    <w:pStyle w:val="15"/>
                    <w:spacing w:line="360" w:lineRule="auto"/>
                    <w:ind w:left="-539" w:leftChars="-257" w:firstLine="539"/>
                  </w:pPr>
                  <w:r>
                    <w:rPr>
                      <w:rFonts w:hint="eastAsia"/>
                    </w:rPr>
                    <w:t>三楼</w:t>
                  </w: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304会议室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手提电脑，吸顶音箱，投影仪，两台85寸电视，无线麦克风</w:t>
                  </w:r>
                </w:p>
              </w:tc>
            </w:tr>
            <w:tr>
              <w:tblPrEx>
                <w:tblCellMar>
                  <w:top w:w="0" w:type="dxa"/>
                  <w:left w:w="108" w:type="dxa"/>
                  <w:bottom w:w="0" w:type="dxa"/>
                  <w:right w:w="108" w:type="dxa"/>
                </w:tblCellMar>
              </w:tblPrEx>
              <w:trPr>
                <w:trHeight w:val="301" w:hRule="atLeast"/>
              </w:trPr>
              <w:tc>
                <w:tcPr>
                  <w:tcW w:w="827" w:type="dxa"/>
                  <w:vMerge w:val="continue"/>
                  <w:tcBorders>
                    <w:left w:val="single" w:color="auto" w:sz="8" w:space="0"/>
                    <w:bottom w:val="single" w:color="000000" w:sz="4"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320会议室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微型电脑，电视机，插板</w:t>
                  </w:r>
                </w:p>
              </w:tc>
            </w:tr>
            <w:tr>
              <w:tblPrEx>
                <w:tblCellMar>
                  <w:top w:w="0" w:type="dxa"/>
                  <w:left w:w="108" w:type="dxa"/>
                  <w:bottom w:w="0" w:type="dxa"/>
                  <w:right w:w="108" w:type="dxa"/>
                </w:tblCellMar>
              </w:tblPrEx>
              <w:trPr>
                <w:trHeight w:val="301" w:hRule="atLeast"/>
              </w:trPr>
              <w:tc>
                <w:tcPr>
                  <w:tcW w:w="827" w:type="dxa"/>
                  <w:vMerge w:val="restart"/>
                  <w:tcBorders>
                    <w:top w:val="nil"/>
                    <w:left w:val="single" w:color="auto" w:sz="8" w:space="0"/>
                    <w:right w:val="single" w:color="auto" w:sz="4" w:space="0"/>
                  </w:tcBorders>
                  <w:vAlign w:val="center"/>
                </w:tcPr>
                <w:p>
                  <w:pPr>
                    <w:pStyle w:val="15"/>
                    <w:spacing w:line="360" w:lineRule="auto"/>
                    <w:ind w:left="-539" w:leftChars="-257" w:firstLine="539"/>
                  </w:pPr>
                  <w:r>
                    <w:rPr>
                      <w:rFonts w:hint="eastAsia"/>
                    </w:rPr>
                    <w:t>六楼</w:t>
                  </w: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党组会议室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微型电脑，投影仪，插板，吸顶音箱</w:t>
                  </w:r>
                </w:p>
              </w:tc>
            </w:tr>
            <w:tr>
              <w:tblPrEx>
                <w:tblCellMar>
                  <w:top w:w="0" w:type="dxa"/>
                  <w:left w:w="108" w:type="dxa"/>
                  <w:bottom w:w="0" w:type="dxa"/>
                  <w:right w:w="108" w:type="dxa"/>
                </w:tblCellMar>
              </w:tblPrEx>
              <w:trPr>
                <w:trHeight w:val="301" w:hRule="atLeast"/>
              </w:trPr>
              <w:tc>
                <w:tcPr>
                  <w:tcW w:w="827" w:type="dxa"/>
                  <w:vMerge w:val="continue"/>
                  <w:tcBorders>
                    <w:left w:val="single" w:color="auto" w:sz="8"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605会议室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0</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0</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电视机，插板，微型电脑</w:t>
                  </w:r>
                </w:p>
              </w:tc>
            </w:tr>
            <w:tr>
              <w:tblPrEx>
                <w:tblCellMar>
                  <w:top w:w="0" w:type="dxa"/>
                  <w:left w:w="108" w:type="dxa"/>
                  <w:bottom w:w="0" w:type="dxa"/>
                  <w:right w:w="108" w:type="dxa"/>
                </w:tblCellMar>
              </w:tblPrEx>
              <w:trPr>
                <w:trHeight w:val="301" w:hRule="atLeast"/>
              </w:trPr>
              <w:tc>
                <w:tcPr>
                  <w:tcW w:w="827" w:type="dxa"/>
                  <w:vMerge w:val="continue"/>
                  <w:tcBorders>
                    <w:left w:val="single" w:color="auto" w:sz="8" w:space="0"/>
                    <w:bottom w:val="single" w:color="000000" w:sz="4"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620会议室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台式电脑，插板，投影仪，音响</w:t>
                  </w:r>
                </w:p>
              </w:tc>
            </w:tr>
            <w:tr>
              <w:tblPrEx>
                <w:tblCellMar>
                  <w:top w:w="0" w:type="dxa"/>
                  <w:left w:w="108" w:type="dxa"/>
                  <w:bottom w:w="0" w:type="dxa"/>
                  <w:right w:w="108" w:type="dxa"/>
                </w:tblCellMar>
              </w:tblPrEx>
              <w:trPr>
                <w:trHeight w:val="301" w:hRule="atLeast"/>
              </w:trPr>
              <w:tc>
                <w:tcPr>
                  <w:tcW w:w="827" w:type="dxa"/>
                  <w:vMerge w:val="restart"/>
                  <w:tcBorders>
                    <w:top w:val="nil"/>
                    <w:left w:val="single" w:color="auto" w:sz="8" w:space="0"/>
                    <w:bottom w:val="single" w:color="000000" w:sz="4" w:space="0"/>
                    <w:right w:val="single" w:color="auto" w:sz="4" w:space="0"/>
                  </w:tcBorders>
                  <w:vAlign w:val="center"/>
                </w:tcPr>
                <w:p>
                  <w:pPr>
                    <w:pStyle w:val="15"/>
                    <w:spacing w:line="360" w:lineRule="auto"/>
                    <w:ind w:left="-539" w:leftChars="-257" w:firstLine="539"/>
                  </w:pPr>
                  <w:r>
                    <w:rPr>
                      <w:rFonts w:hint="eastAsia"/>
                    </w:rPr>
                    <w:t>9楼</w:t>
                  </w: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901会议室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微型电脑，投影仪，无线麦克风，吸顶音箱</w:t>
                  </w:r>
                </w:p>
              </w:tc>
            </w:tr>
            <w:tr>
              <w:tblPrEx>
                <w:tblCellMar>
                  <w:top w:w="0" w:type="dxa"/>
                  <w:left w:w="108" w:type="dxa"/>
                  <w:bottom w:w="0" w:type="dxa"/>
                  <w:right w:w="108" w:type="dxa"/>
                </w:tblCellMar>
              </w:tblPrEx>
              <w:trPr>
                <w:trHeight w:val="301" w:hRule="atLeast"/>
              </w:trPr>
              <w:tc>
                <w:tcPr>
                  <w:tcW w:w="827" w:type="dxa"/>
                  <w:vMerge w:val="continue"/>
                  <w:tcBorders>
                    <w:top w:val="nil"/>
                    <w:left w:val="single" w:color="auto" w:sz="8" w:space="0"/>
                    <w:bottom w:val="single" w:color="000000" w:sz="4"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902会议室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微型电脑，投影仪，插板，吸顶音箱，无线麦克风</w:t>
                  </w:r>
                </w:p>
              </w:tc>
            </w:tr>
            <w:tr>
              <w:tblPrEx>
                <w:tblCellMar>
                  <w:top w:w="0" w:type="dxa"/>
                  <w:left w:w="108" w:type="dxa"/>
                  <w:bottom w:w="0" w:type="dxa"/>
                  <w:right w:w="108" w:type="dxa"/>
                </w:tblCellMar>
              </w:tblPrEx>
              <w:trPr>
                <w:trHeight w:val="301" w:hRule="atLeast"/>
              </w:trPr>
              <w:tc>
                <w:tcPr>
                  <w:tcW w:w="827" w:type="dxa"/>
                  <w:vMerge w:val="continue"/>
                  <w:tcBorders>
                    <w:top w:val="nil"/>
                    <w:left w:val="single" w:color="auto" w:sz="8" w:space="0"/>
                    <w:bottom w:val="single" w:color="000000" w:sz="4" w:space="0"/>
                    <w:right w:val="single" w:color="auto" w:sz="4" w:space="0"/>
                  </w:tcBorders>
                  <w:vAlign w:val="center"/>
                </w:tcPr>
                <w:p>
                  <w:pPr>
                    <w:pStyle w:val="15"/>
                    <w:spacing w:line="360" w:lineRule="auto"/>
                    <w:ind w:left="-539" w:leftChars="-257" w:firstLine="539"/>
                  </w:pPr>
                </w:p>
              </w:tc>
              <w:tc>
                <w:tcPr>
                  <w:tcW w:w="1614" w:type="dxa"/>
                  <w:tcBorders>
                    <w:top w:val="single" w:color="auto" w:sz="4" w:space="0"/>
                    <w:left w:val="nil"/>
                    <w:bottom w:val="single" w:color="auto" w:sz="4" w:space="0"/>
                    <w:right w:val="single" w:color="auto" w:sz="4" w:space="0"/>
                  </w:tcBorders>
                  <w:vAlign w:val="center"/>
                </w:tcPr>
                <w:p>
                  <w:pPr>
                    <w:pStyle w:val="15"/>
                    <w:spacing w:line="360" w:lineRule="auto"/>
                    <w:ind w:left="-539" w:leftChars="-257" w:firstLine="539"/>
                  </w:pPr>
                  <w:r>
                    <w:rPr>
                      <w:rFonts w:hint="eastAsia"/>
                    </w:rPr>
                    <w:t>903会议室</w:t>
                  </w:r>
                </w:p>
              </w:tc>
              <w:tc>
                <w:tcPr>
                  <w:tcW w:w="389"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743" w:type="dxa"/>
                  <w:tcBorders>
                    <w:top w:val="nil"/>
                    <w:left w:val="nil"/>
                    <w:bottom w:val="single" w:color="auto" w:sz="4" w:space="0"/>
                    <w:right w:val="single" w:color="auto" w:sz="4" w:space="0"/>
                  </w:tcBorders>
                  <w:vAlign w:val="center"/>
                </w:tcPr>
                <w:p>
                  <w:pPr>
                    <w:pStyle w:val="15"/>
                    <w:spacing w:line="360" w:lineRule="auto"/>
                    <w:ind w:left="-539" w:leftChars="-257" w:firstLine="539"/>
                  </w:pPr>
                  <w:r>
                    <w:rPr>
                      <w:rFonts w:hint="eastAsia"/>
                    </w:rPr>
                    <w:t>1</w:t>
                  </w:r>
                </w:p>
              </w:tc>
              <w:tc>
                <w:tcPr>
                  <w:tcW w:w="5725" w:type="dxa"/>
                  <w:tcBorders>
                    <w:top w:val="single" w:color="auto" w:sz="4" w:space="0"/>
                    <w:left w:val="nil"/>
                    <w:bottom w:val="single" w:color="auto" w:sz="4" w:space="0"/>
                    <w:right w:val="single" w:color="000000" w:sz="4" w:space="0"/>
                  </w:tcBorders>
                  <w:vAlign w:val="center"/>
                </w:tcPr>
                <w:p>
                  <w:pPr>
                    <w:pStyle w:val="15"/>
                    <w:spacing w:line="360" w:lineRule="auto"/>
                    <w:ind w:left="-539" w:leftChars="-257" w:firstLine="539"/>
                  </w:pPr>
                  <w:r>
                    <w:rPr>
                      <w:rFonts w:hint="eastAsia"/>
                    </w:rPr>
                    <w:t>微型电脑，投影仪，插板，吸顶音箱，无线麦克风</w:t>
                  </w:r>
                </w:p>
              </w:tc>
            </w:tr>
          </w:tbl>
          <w:p>
            <w:pPr>
              <w:pStyle w:val="15"/>
              <w:spacing w:line="360" w:lineRule="auto"/>
              <w:ind w:left="-539" w:leftChars="-257" w:firstLine="539"/>
            </w:pPr>
          </w:p>
          <w:p>
            <w:pPr>
              <w:pStyle w:val="20"/>
              <w:ind w:firstLine="0"/>
              <w:rPr>
                <w:b/>
              </w:rPr>
            </w:pPr>
            <w:r>
              <w:rPr>
                <w:rFonts w:hint="eastAsia"/>
                <w:b/>
              </w:rPr>
              <w:t>（2）视频会议设备</w:t>
            </w:r>
            <w:r>
              <w:rPr>
                <w:b/>
              </w:rPr>
              <w:t>：</w:t>
            </w:r>
          </w:p>
          <w:tbl>
            <w:tblPr>
              <w:tblStyle w:val="9"/>
              <w:tblW w:w="9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616"/>
              <w:gridCol w:w="226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shd w:val="clear" w:color="auto" w:fill="CCCCCC"/>
                  <w:vAlign w:val="center"/>
                </w:tcPr>
                <w:p>
                  <w:pPr>
                    <w:pStyle w:val="20"/>
                    <w:ind w:firstLine="0"/>
                    <w:rPr>
                      <w:b/>
                    </w:rPr>
                  </w:pPr>
                  <w:r>
                    <w:rPr>
                      <w:rFonts w:hint="eastAsia"/>
                      <w:b/>
                    </w:rPr>
                    <w:t>序号</w:t>
                  </w:r>
                </w:p>
              </w:tc>
              <w:tc>
                <w:tcPr>
                  <w:tcW w:w="5616" w:type="dxa"/>
                  <w:shd w:val="clear" w:color="auto" w:fill="CCCCCC"/>
                  <w:vAlign w:val="center"/>
                </w:tcPr>
                <w:p>
                  <w:pPr>
                    <w:pStyle w:val="20"/>
                    <w:ind w:firstLine="0"/>
                    <w:rPr>
                      <w:b/>
                    </w:rPr>
                  </w:pPr>
                  <w:r>
                    <w:rPr>
                      <w:rFonts w:hint="eastAsia"/>
                      <w:b/>
                    </w:rPr>
                    <w:t>设备名称</w:t>
                  </w:r>
                </w:p>
              </w:tc>
              <w:tc>
                <w:tcPr>
                  <w:tcW w:w="2263" w:type="dxa"/>
                  <w:shd w:val="clear" w:color="auto" w:fill="CCCCCC"/>
                  <w:vAlign w:val="center"/>
                </w:tcPr>
                <w:p>
                  <w:pPr>
                    <w:pStyle w:val="20"/>
                    <w:ind w:firstLine="0"/>
                    <w:rPr>
                      <w:b/>
                    </w:rPr>
                  </w:pPr>
                  <w:r>
                    <w:rPr>
                      <w:rFonts w:hint="eastAsia"/>
                      <w:b/>
                    </w:rPr>
                    <w:t>设备型号</w:t>
                  </w:r>
                </w:p>
              </w:tc>
              <w:tc>
                <w:tcPr>
                  <w:tcW w:w="696" w:type="dxa"/>
                  <w:shd w:val="clear" w:color="auto" w:fill="CCCCCC"/>
                  <w:vAlign w:val="center"/>
                </w:tcPr>
                <w:p>
                  <w:pPr>
                    <w:pStyle w:val="20"/>
                    <w:ind w:firstLine="0"/>
                    <w:rPr>
                      <w:b/>
                    </w:rPr>
                  </w:pPr>
                  <w:r>
                    <w:rPr>
                      <w:rFonts w:hint="eastAsia"/>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1</w:t>
                  </w:r>
                </w:p>
              </w:tc>
              <w:tc>
                <w:tcPr>
                  <w:tcW w:w="5616" w:type="dxa"/>
                  <w:vAlign w:val="center"/>
                </w:tcPr>
                <w:p>
                  <w:pPr>
                    <w:pStyle w:val="20"/>
                    <w:ind w:firstLine="0"/>
                    <w:rPr>
                      <w:b/>
                    </w:rPr>
                  </w:pPr>
                  <w:r>
                    <w:rPr>
                      <w:rFonts w:hint="eastAsia"/>
                      <w:b/>
                    </w:rPr>
                    <w:t>宝利通</w:t>
                  </w:r>
                </w:p>
              </w:tc>
              <w:tc>
                <w:tcPr>
                  <w:tcW w:w="2263" w:type="dxa"/>
                  <w:vAlign w:val="center"/>
                </w:tcPr>
                <w:p>
                  <w:pPr>
                    <w:pStyle w:val="20"/>
                    <w:ind w:firstLine="0"/>
                    <w:rPr>
                      <w:b/>
                    </w:rPr>
                  </w:pPr>
                  <w:r>
                    <w:rPr>
                      <w:rFonts w:hint="eastAsia"/>
                      <w:b/>
                    </w:rPr>
                    <w:t>HDX8000</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2</w:t>
                  </w:r>
                </w:p>
              </w:tc>
              <w:tc>
                <w:tcPr>
                  <w:tcW w:w="5616" w:type="dxa"/>
                  <w:vAlign w:val="center"/>
                </w:tcPr>
                <w:p>
                  <w:pPr>
                    <w:pStyle w:val="20"/>
                    <w:ind w:firstLine="0"/>
                    <w:rPr>
                      <w:b/>
                    </w:rPr>
                  </w:pPr>
                  <w:r>
                    <w:rPr>
                      <w:rFonts w:hint="eastAsia"/>
                      <w:b/>
                    </w:rPr>
                    <w:t>华为</w:t>
                  </w:r>
                </w:p>
              </w:tc>
              <w:tc>
                <w:tcPr>
                  <w:tcW w:w="2263" w:type="dxa"/>
                  <w:vAlign w:val="center"/>
                </w:tcPr>
                <w:p>
                  <w:pPr>
                    <w:pStyle w:val="20"/>
                    <w:ind w:firstLine="0"/>
                    <w:rPr>
                      <w:b/>
                    </w:rPr>
                  </w:pPr>
                  <w:r>
                    <w:rPr>
                      <w:rFonts w:hint="eastAsia"/>
                      <w:b/>
                    </w:rPr>
                    <w:t>View 8036</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3</w:t>
                  </w:r>
                </w:p>
              </w:tc>
              <w:tc>
                <w:tcPr>
                  <w:tcW w:w="5616" w:type="dxa"/>
                  <w:vAlign w:val="center"/>
                </w:tcPr>
                <w:p>
                  <w:pPr>
                    <w:pStyle w:val="20"/>
                    <w:ind w:firstLine="0"/>
                    <w:rPr>
                      <w:b/>
                    </w:rPr>
                  </w:pPr>
                  <w:r>
                    <w:rPr>
                      <w:rFonts w:hint="eastAsia"/>
                      <w:b/>
                    </w:rPr>
                    <w:t>海康威视</w:t>
                  </w:r>
                </w:p>
              </w:tc>
              <w:tc>
                <w:tcPr>
                  <w:tcW w:w="2263" w:type="dxa"/>
                  <w:vAlign w:val="center"/>
                </w:tcPr>
                <w:p>
                  <w:pPr>
                    <w:pStyle w:val="20"/>
                    <w:ind w:firstLine="0"/>
                    <w:rPr>
                      <w:b/>
                    </w:rPr>
                  </w:pPr>
                  <w:r>
                    <w:rPr>
                      <w:rFonts w:hint="eastAsia"/>
                      <w:b/>
                    </w:rPr>
                    <w:t>DS-6101HF-12V</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4</w:t>
                  </w:r>
                </w:p>
              </w:tc>
              <w:tc>
                <w:tcPr>
                  <w:tcW w:w="5616" w:type="dxa"/>
                  <w:vAlign w:val="center"/>
                </w:tcPr>
                <w:p>
                  <w:pPr>
                    <w:pStyle w:val="20"/>
                    <w:ind w:firstLine="0"/>
                    <w:rPr>
                      <w:b/>
                    </w:rPr>
                  </w:pPr>
                  <w:r>
                    <w:rPr>
                      <w:rFonts w:hint="eastAsia"/>
                      <w:b/>
                    </w:rPr>
                    <w:t>华为</w:t>
                  </w:r>
                </w:p>
              </w:tc>
              <w:tc>
                <w:tcPr>
                  <w:tcW w:w="2263" w:type="dxa"/>
                  <w:vAlign w:val="center"/>
                </w:tcPr>
                <w:p>
                  <w:pPr>
                    <w:pStyle w:val="20"/>
                    <w:ind w:firstLine="0"/>
                    <w:rPr>
                      <w:b/>
                    </w:rPr>
                  </w:pPr>
                  <w:r>
                    <w:rPr>
                      <w:rFonts w:hint="eastAsia"/>
                      <w:b/>
                    </w:rPr>
                    <w:t>HUAWEI  TE30</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5</w:t>
                  </w:r>
                </w:p>
              </w:tc>
              <w:tc>
                <w:tcPr>
                  <w:tcW w:w="5616" w:type="dxa"/>
                  <w:vAlign w:val="center"/>
                </w:tcPr>
                <w:p>
                  <w:pPr>
                    <w:pStyle w:val="20"/>
                    <w:ind w:firstLine="0"/>
                    <w:rPr>
                      <w:b/>
                    </w:rPr>
                  </w:pPr>
                  <w:r>
                    <w:rPr>
                      <w:rFonts w:hint="eastAsia"/>
                      <w:b/>
                    </w:rPr>
                    <w:t>华为</w:t>
                  </w:r>
                </w:p>
              </w:tc>
              <w:tc>
                <w:tcPr>
                  <w:tcW w:w="2263" w:type="dxa"/>
                  <w:vAlign w:val="center"/>
                </w:tcPr>
                <w:p>
                  <w:pPr>
                    <w:pStyle w:val="20"/>
                    <w:ind w:firstLine="0"/>
                    <w:rPr>
                      <w:b/>
                    </w:rPr>
                  </w:pPr>
                  <w:r>
                    <w:rPr>
                      <w:rFonts w:hint="eastAsia"/>
                      <w:b/>
                    </w:rPr>
                    <w:t xml:space="preserve">HUAWEI  </w:t>
                  </w:r>
                </w:p>
                <w:p>
                  <w:pPr>
                    <w:pStyle w:val="20"/>
                    <w:ind w:firstLine="0"/>
                    <w:rPr>
                      <w:b/>
                    </w:rPr>
                  </w:pPr>
                  <w:r>
                    <w:rPr>
                      <w:rFonts w:hint="eastAsia"/>
                      <w:b/>
                    </w:rPr>
                    <w:t>CloudLink Box300</w:t>
                  </w:r>
                </w:p>
              </w:tc>
              <w:tc>
                <w:tcPr>
                  <w:tcW w:w="696" w:type="dxa"/>
                  <w:vAlign w:val="center"/>
                </w:tcPr>
                <w:p>
                  <w:pPr>
                    <w:pStyle w:val="20"/>
                    <w:ind w:firstLine="0"/>
                    <w:rPr>
                      <w:b/>
                    </w:rPr>
                  </w:pPr>
                  <w:r>
                    <w:rPr>
                      <w:rFonts w:hint="eastAsia"/>
                      <w: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6" w:type="dxa"/>
                  <w:vAlign w:val="center"/>
                </w:tcPr>
                <w:p>
                  <w:pPr>
                    <w:pStyle w:val="20"/>
                    <w:ind w:firstLine="0"/>
                    <w:rPr>
                      <w:b/>
                    </w:rPr>
                  </w:pPr>
                  <w:r>
                    <w:rPr>
                      <w:rFonts w:hint="eastAsia"/>
                      <w:b/>
                    </w:rPr>
                    <w:t>6</w:t>
                  </w:r>
                </w:p>
              </w:tc>
              <w:tc>
                <w:tcPr>
                  <w:tcW w:w="5616" w:type="dxa"/>
                  <w:vAlign w:val="center"/>
                </w:tcPr>
                <w:p>
                  <w:pPr>
                    <w:pStyle w:val="20"/>
                    <w:ind w:firstLine="0"/>
                    <w:rPr>
                      <w:b/>
                    </w:rPr>
                  </w:pPr>
                  <w:r>
                    <w:rPr>
                      <w:rFonts w:hint="eastAsia"/>
                      <w:b/>
                    </w:rPr>
                    <w:t>腾讯会议系统（电脑、摄像头、麦克风）</w:t>
                  </w:r>
                </w:p>
              </w:tc>
              <w:tc>
                <w:tcPr>
                  <w:tcW w:w="2263" w:type="dxa"/>
                  <w:vAlign w:val="center"/>
                </w:tcPr>
                <w:p>
                  <w:pPr>
                    <w:pStyle w:val="20"/>
                    <w:ind w:firstLine="0"/>
                    <w:rPr>
                      <w:b/>
                    </w:rPr>
                  </w:pPr>
                  <w:r>
                    <w:rPr>
                      <w:rFonts w:hint="eastAsia"/>
                      <w:b/>
                    </w:rPr>
                    <w:t>HFMPBX83、PSE0600、PSE0500</w:t>
                  </w:r>
                </w:p>
              </w:tc>
              <w:tc>
                <w:tcPr>
                  <w:tcW w:w="696" w:type="dxa"/>
                  <w:vAlign w:val="center"/>
                </w:tcPr>
                <w:p>
                  <w:pPr>
                    <w:pStyle w:val="20"/>
                    <w:ind w:firstLine="0"/>
                    <w:rPr>
                      <w:b/>
                    </w:rPr>
                  </w:pPr>
                  <w:r>
                    <w:rPr>
                      <w:rFonts w:hint="eastAsia"/>
                      <w:b/>
                    </w:rPr>
                    <w:t>1套</w:t>
                  </w:r>
                </w:p>
              </w:tc>
            </w:tr>
          </w:tbl>
          <w:p>
            <w:pPr>
              <w:pStyle w:val="20"/>
              <w:ind w:firstLine="0"/>
              <w:rPr>
                <w:b/>
              </w:rPr>
            </w:pPr>
            <w:r>
              <w:rPr>
                <w:rFonts w:hint="eastAsia"/>
                <w:b/>
              </w:rPr>
              <w:t xml:space="preserve"> </w:t>
            </w:r>
          </w:p>
          <w:p>
            <w:pPr>
              <w:pStyle w:val="17"/>
              <w:spacing w:line="360" w:lineRule="auto"/>
              <w:rPr>
                <w:rFonts w:ascii="宋体" w:hAnsi="宋体"/>
                <w:kern w:val="0"/>
                <w:sz w:val="24"/>
                <w:szCs w:val="24"/>
              </w:rPr>
            </w:pPr>
            <w:r>
              <w:rPr>
                <w:rFonts w:hint="eastAsia" w:ascii="宋体" w:hAnsi="宋体"/>
                <w:kern w:val="0"/>
                <w:sz w:val="24"/>
                <w:szCs w:val="24"/>
              </w:rPr>
              <w:t>（1）服务范围</w:t>
            </w:r>
          </w:p>
          <w:p>
            <w:pPr>
              <w:pStyle w:val="17"/>
              <w:spacing w:line="360" w:lineRule="auto"/>
              <w:ind w:firstLine="720" w:firstLineChars="300"/>
              <w:rPr>
                <w:rFonts w:ascii="宋体" w:hAnsi="宋体"/>
                <w:kern w:val="0"/>
                <w:sz w:val="24"/>
                <w:szCs w:val="24"/>
              </w:rPr>
            </w:pPr>
            <w:r>
              <w:rPr>
                <w:rFonts w:hint="eastAsia" w:ascii="宋体" w:hAnsi="宋体"/>
                <w:sz w:val="24"/>
                <w:szCs w:val="24"/>
              </w:rPr>
              <w:t>主要包括省、市、国土规划系统的电视电话会议和视频会议、局内会议以及其他部门需要广州市规划和自然资源局花都区分局协助的会议签到及接待投影设备的搬运、安装、调试、维护及幻灯片的播放等，并对范围内所有会场会议设备进行统一资产管理和巡检服务，并建立高效、规范的运维服务体系，记录过程和提交阶段性报告。</w:t>
            </w:r>
            <w:r>
              <w:rPr>
                <w:rFonts w:hint="eastAsia" w:ascii="宋体" w:hAnsi="宋体"/>
                <w:kern w:val="0"/>
                <w:sz w:val="24"/>
                <w:szCs w:val="24"/>
              </w:rPr>
              <w:t>视频会议系统包括电视电话会议系统、市视频会议系统和区视频会议系统。</w:t>
            </w:r>
          </w:p>
          <w:p>
            <w:pPr>
              <w:pStyle w:val="17"/>
              <w:spacing w:line="360" w:lineRule="auto"/>
              <w:rPr>
                <w:rFonts w:ascii="宋体" w:hAnsi="宋体"/>
                <w:kern w:val="0"/>
                <w:sz w:val="24"/>
                <w:szCs w:val="24"/>
              </w:rPr>
            </w:pPr>
            <w:r>
              <w:rPr>
                <w:rFonts w:hint="eastAsia" w:ascii="宋体" w:hAnsi="宋体"/>
                <w:kern w:val="0"/>
                <w:sz w:val="24"/>
                <w:szCs w:val="24"/>
              </w:rPr>
              <w:t>（2）服务内容</w:t>
            </w:r>
          </w:p>
          <w:p>
            <w:pPr>
              <w:pStyle w:val="21"/>
              <w:numPr>
                <w:ilvl w:val="0"/>
                <w:numId w:val="4"/>
              </w:numPr>
              <w:spacing w:line="360" w:lineRule="auto"/>
              <w:rPr>
                <w:rFonts w:ascii="宋体" w:hAnsi="宋体"/>
                <w:sz w:val="24"/>
              </w:rPr>
            </w:pPr>
            <w:r>
              <w:rPr>
                <w:rFonts w:hint="eastAsia" w:ascii="宋体" w:hAnsi="宋体"/>
                <w:sz w:val="24"/>
              </w:rPr>
              <w:t>按照局办公室要求提前安装、调试好设备。</w:t>
            </w:r>
          </w:p>
          <w:p>
            <w:pPr>
              <w:pStyle w:val="21"/>
              <w:numPr>
                <w:ilvl w:val="0"/>
                <w:numId w:val="4"/>
              </w:numPr>
              <w:spacing w:line="360" w:lineRule="auto"/>
              <w:rPr>
                <w:rFonts w:ascii="宋体" w:hAnsi="宋体"/>
                <w:sz w:val="24"/>
              </w:rPr>
            </w:pPr>
            <w:r>
              <w:rPr>
                <w:rFonts w:hint="eastAsia" w:ascii="宋体" w:hAnsi="宋体"/>
                <w:sz w:val="24"/>
              </w:rPr>
              <w:t>由局办公室安排相关的会议、接待、活动，维护人员在指定地点对设备进行现场维护，保证设备的正常运行，并遵守相关的工作和保密方面的管理制度。维护人员需要具有良好的思想和职业道德，具有高度的工作责任感。</w:t>
            </w:r>
          </w:p>
          <w:p>
            <w:pPr>
              <w:pStyle w:val="21"/>
              <w:numPr>
                <w:ilvl w:val="0"/>
                <w:numId w:val="4"/>
              </w:numPr>
              <w:spacing w:line="360" w:lineRule="auto"/>
              <w:rPr>
                <w:rFonts w:ascii="宋体" w:hAnsi="宋体"/>
                <w:sz w:val="24"/>
              </w:rPr>
            </w:pPr>
            <w:r>
              <w:rPr>
                <w:rFonts w:ascii="宋体" w:hAnsi="宋体"/>
                <w:sz w:val="24"/>
              </w:rPr>
              <w:t>定期做好终端的清洁工作，防止出现积尘现象；每周上电检查一次，确认图像、声音正常；每月检查一次输入、输出接线端是否有松动、接触不良现象；每月检查一次输入、输出导线是否完好无损，如果有损坏应该及时更换。</w:t>
            </w:r>
          </w:p>
          <w:p>
            <w:pPr>
              <w:pStyle w:val="21"/>
              <w:numPr>
                <w:ilvl w:val="0"/>
                <w:numId w:val="4"/>
              </w:numPr>
              <w:spacing w:line="360" w:lineRule="auto"/>
              <w:rPr>
                <w:rFonts w:ascii="宋体" w:hAnsi="宋体"/>
                <w:sz w:val="24"/>
              </w:rPr>
            </w:pPr>
            <w:r>
              <w:rPr>
                <w:rFonts w:ascii="宋体" w:hAnsi="宋体"/>
                <w:sz w:val="24"/>
              </w:rPr>
              <w:t>保持会议室</w:t>
            </w:r>
            <w:r>
              <w:rPr>
                <w:rFonts w:hint="eastAsia" w:ascii="宋体" w:hAnsi="宋体"/>
                <w:sz w:val="24"/>
              </w:rPr>
              <w:t>设备</w:t>
            </w:r>
            <w:r>
              <w:rPr>
                <w:rFonts w:ascii="宋体" w:hAnsi="宋体"/>
                <w:sz w:val="24"/>
              </w:rPr>
              <w:t>清洁，注意防尘</w:t>
            </w:r>
          </w:p>
          <w:p>
            <w:pPr>
              <w:pStyle w:val="21"/>
              <w:spacing w:line="360" w:lineRule="auto"/>
              <w:rPr>
                <w:rFonts w:ascii="宋体" w:hAnsi="宋体"/>
                <w:sz w:val="24"/>
              </w:rPr>
            </w:pPr>
            <w:r>
              <w:rPr>
                <w:rFonts w:hint="eastAsia" w:ascii="宋体" w:hAnsi="宋体"/>
                <w:sz w:val="24"/>
              </w:rPr>
              <w:t>（3）</w:t>
            </w:r>
            <w:r>
              <w:rPr>
                <w:rFonts w:ascii="宋体" w:hAnsi="宋体"/>
                <w:sz w:val="24"/>
              </w:rPr>
              <w:t>测试维护工作</w:t>
            </w:r>
          </w:p>
          <w:p>
            <w:pPr>
              <w:pStyle w:val="21"/>
              <w:spacing w:line="360" w:lineRule="auto"/>
              <w:ind w:firstLine="480" w:firstLineChars="200"/>
              <w:rPr>
                <w:rFonts w:ascii="宋体" w:hAnsi="宋体"/>
                <w:sz w:val="24"/>
              </w:rPr>
            </w:pPr>
            <w:r>
              <w:rPr>
                <w:rFonts w:ascii="宋体" w:hAnsi="宋体"/>
                <w:sz w:val="24"/>
              </w:rPr>
              <w:t>如果设备长时间处于非会议状态（超过一个季度），在每周一次的上电检查的基础上，于会议的前3天，</w:t>
            </w:r>
            <w:r>
              <w:rPr>
                <w:rFonts w:hint="eastAsia" w:ascii="宋体" w:hAnsi="宋体"/>
                <w:sz w:val="24"/>
              </w:rPr>
              <w:t>做</w:t>
            </w:r>
            <w:r>
              <w:rPr>
                <w:rFonts w:ascii="宋体" w:hAnsi="宋体"/>
                <w:sz w:val="24"/>
              </w:rPr>
              <w:t>环回测试，检测之后不要急于断电，让设备连续工作3小时以上，确认图像稳定、声音清晰；如果设备经常使用，在会议开始前一天进行自环测试，并于会前两个小时进行联调检测。</w:t>
            </w:r>
          </w:p>
          <w:p>
            <w:pPr>
              <w:pStyle w:val="21"/>
              <w:spacing w:line="360" w:lineRule="auto"/>
              <w:rPr>
                <w:rFonts w:ascii="宋体" w:hAnsi="宋体"/>
                <w:sz w:val="24"/>
              </w:rPr>
            </w:pPr>
            <w:r>
              <w:rPr>
                <w:rFonts w:hint="eastAsia" w:ascii="宋体" w:hAnsi="宋体"/>
                <w:sz w:val="24"/>
              </w:rPr>
              <w:t>（4）</w:t>
            </w:r>
            <w:r>
              <w:rPr>
                <w:rFonts w:ascii="宋体" w:hAnsi="宋体"/>
                <w:sz w:val="24"/>
              </w:rPr>
              <w:t>保养维护</w:t>
            </w:r>
          </w:p>
          <w:p>
            <w:pPr>
              <w:pStyle w:val="21"/>
              <w:spacing w:line="360" w:lineRule="auto"/>
              <w:ind w:firstLine="480" w:firstLineChars="200"/>
              <w:rPr>
                <w:rFonts w:ascii="宋体" w:hAnsi="宋体"/>
                <w:sz w:val="24"/>
              </w:rPr>
            </w:pPr>
            <w:r>
              <w:rPr>
                <w:rFonts w:ascii="宋体" w:hAnsi="宋体"/>
                <w:sz w:val="24"/>
              </w:rPr>
              <w:t>定期对会议室环境的例行检查和对终端功能的例行检查，要求最迟在会议召开前2小时-3小时进行。</w:t>
            </w:r>
            <w:r>
              <w:rPr>
                <w:rFonts w:hint="eastAsia" w:ascii="宋体" w:hAnsi="宋体"/>
                <w:sz w:val="24"/>
              </w:rPr>
              <w:t>提供设备维护、维修记录和报告。</w:t>
            </w:r>
          </w:p>
          <w:p>
            <w:pPr>
              <w:pStyle w:val="21"/>
              <w:spacing w:line="360" w:lineRule="auto"/>
              <w:rPr>
                <w:rFonts w:ascii="宋体" w:hAnsi="宋体"/>
                <w:sz w:val="24"/>
              </w:rPr>
            </w:pPr>
            <w:r>
              <w:rPr>
                <w:rFonts w:hint="eastAsia" w:ascii="宋体" w:hAnsi="宋体"/>
                <w:sz w:val="24"/>
              </w:rPr>
              <w:t>（5）会议保障</w:t>
            </w:r>
          </w:p>
          <w:p>
            <w:pPr>
              <w:pStyle w:val="21"/>
              <w:spacing w:line="360" w:lineRule="auto"/>
              <w:ind w:firstLine="480" w:firstLineChars="200"/>
              <w:rPr>
                <w:rFonts w:ascii="宋体" w:hAnsi="宋体"/>
                <w:sz w:val="24"/>
              </w:rPr>
            </w:pPr>
            <w:r>
              <w:rPr>
                <w:rFonts w:hint="eastAsia" w:ascii="宋体" w:hAnsi="宋体"/>
                <w:sz w:val="24"/>
              </w:rPr>
              <w:t>为保证广州市规划和自然资源局花都区分局视频会议的顺利召开，制定《广州市规划和自然资源局花都区分局视频会议保障及应急措施》，提供视频会议设备的常见故障及解决方法，指导视频会议技术保障人员进行应急处理工作。</w:t>
            </w:r>
          </w:p>
          <w:p>
            <w:pPr>
              <w:pStyle w:val="21"/>
              <w:spacing w:line="360" w:lineRule="auto"/>
              <w:rPr>
                <w:rFonts w:ascii="宋体" w:hAnsi="宋体"/>
                <w:sz w:val="24"/>
              </w:rPr>
            </w:pPr>
            <w:r>
              <w:rPr>
                <w:rFonts w:hint="eastAsia" w:ascii="宋体" w:hAnsi="宋体"/>
                <w:sz w:val="24"/>
              </w:rPr>
              <w:t>（6）视频会议设备维修服务</w:t>
            </w:r>
          </w:p>
          <w:p>
            <w:pPr>
              <w:pStyle w:val="21"/>
              <w:spacing w:line="360" w:lineRule="auto"/>
              <w:ind w:firstLine="480" w:firstLineChars="200"/>
              <w:rPr>
                <w:rFonts w:ascii="宋体" w:hAnsi="宋体"/>
                <w:sz w:val="24"/>
              </w:rPr>
            </w:pPr>
            <w:r>
              <w:rPr>
                <w:rFonts w:hint="eastAsia" w:ascii="宋体" w:hAnsi="宋体"/>
                <w:sz w:val="24"/>
              </w:rPr>
              <w:t>系统故障诊断及检修：当系统出现问题时，及时对问题进行诊断、分析，并解决问题。如果是紧急故障，导致系统无法工作，业务停止运行的情况下，且现场维护人员（一线工程师）无法解决时，要求二线技术人员到故障现场处理故障。当设备或系统出现故障时，及时进行检查、免费维修或更换故障部件。</w:t>
            </w:r>
          </w:p>
          <w:p>
            <w:pPr>
              <w:pStyle w:val="3"/>
              <w:ind w:left="0" w:firstLine="480" w:firstLineChars="200"/>
              <w:rPr>
                <w:rFonts w:ascii="微软雅黑" w:hAnsi="微软雅黑" w:eastAsia="微软雅黑" w:cs="仿宋_GB2312"/>
                <w:b/>
                <w:szCs w:val="24"/>
              </w:rPr>
            </w:pPr>
            <w:r>
              <w:rPr>
                <w:rFonts w:hint="eastAsia" w:ascii="微软雅黑" w:hAnsi="微软雅黑" w:eastAsia="微软雅黑" w:cs="仿宋_GB2312"/>
                <w:b/>
                <w:szCs w:val="24"/>
              </w:rPr>
              <w:t>3. 桌面及终端设备</w:t>
            </w:r>
          </w:p>
          <w:p>
            <w:pPr>
              <w:spacing w:line="360" w:lineRule="auto"/>
              <w:ind w:firstLine="560"/>
              <w:rPr>
                <w:rFonts w:ascii="微软雅黑" w:hAnsi="微软雅黑" w:eastAsia="微软雅黑" w:cs="仿宋_GB2312"/>
                <w:sz w:val="24"/>
              </w:rPr>
            </w:pPr>
            <w:r>
              <w:rPr>
                <w:rFonts w:hint="eastAsia" w:ascii="宋体" w:hAnsi="宋体"/>
                <w:sz w:val="24"/>
              </w:rPr>
              <w:t>1、现状</w:t>
            </w:r>
            <w:r>
              <w:rPr>
                <w:rFonts w:hint="eastAsia" w:ascii="微软雅黑" w:hAnsi="微软雅黑" w:eastAsia="微软雅黑" w:cs="仿宋_GB2312"/>
                <w:sz w:val="24"/>
              </w:rPr>
              <w:t xml:space="preserve"> </w:t>
            </w:r>
          </w:p>
          <w:p>
            <w:pPr>
              <w:spacing w:line="360" w:lineRule="auto"/>
              <w:ind w:firstLine="360" w:firstLineChars="150"/>
              <w:jc w:val="left"/>
              <w:rPr>
                <w:rFonts w:ascii="微软雅黑" w:hAnsi="微软雅黑" w:eastAsia="微软雅黑" w:cs="仿宋_GB2312"/>
                <w:color w:val="FF0000"/>
                <w:sz w:val="24"/>
              </w:rPr>
            </w:pPr>
            <w:r>
              <w:rPr>
                <w:rFonts w:hint="eastAsia" w:ascii="微软雅黑" w:hAnsi="微软雅黑" w:eastAsia="微软雅黑" w:cs="仿宋_GB2312"/>
                <w:sz w:val="24"/>
              </w:rPr>
              <w:t>（1）市规划和自然资源局花都区分局正常使用的电子设备情况：台式电脑</w:t>
            </w:r>
            <w:r>
              <w:rPr>
                <w:rFonts w:hint="eastAsia" w:ascii="微软雅黑" w:hAnsi="微软雅黑" w:eastAsia="微软雅黑" w:cs="仿宋_GB2312"/>
                <w:sz w:val="24"/>
                <w:lang w:val="en-US" w:eastAsia="zh-CN"/>
              </w:rPr>
              <w:t>451</w:t>
            </w:r>
            <w:r>
              <w:rPr>
                <w:rFonts w:hint="eastAsia" w:ascii="微软雅黑" w:hAnsi="微软雅黑" w:eastAsia="微软雅黑" w:cs="仿宋_GB2312"/>
                <w:sz w:val="24"/>
              </w:rPr>
              <w:t>台（含各</w:t>
            </w:r>
            <w:r>
              <w:rPr>
                <w:rFonts w:hint="eastAsia" w:ascii="微软雅黑" w:hAnsi="微软雅黑" w:eastAsia="微软雅黑" w:cs="仿宋_GB2312"/>
                <w:sz w:val="24"/>
                <w:lang w:val="en-US" w:eastAsia="zh-CN"/>
              </w:rPr>
              <w:t>规划和自然资源</w:t>
            </w:r>
            <w:r>
              <w:rPr>
                <w:rFonts w:hint="eastAsia" w:ascii="微软雅黑" w:hAnsi="微软雅黑" w:eastAsia="微软雅黑" w:cs="仿宋_GB2312"/>
                <w:sz w:val="24"/>
              </w:rPr>
              <w:t>所），打印机263台，笔记本</w:t>
            </w:r>
            <w:r>
              <w:rPr>
                <w:rFonts w:hint="eastAsia" w:ascii="微软雅黑" w:hAnsi="微软雅黑" w:eastAsia="微软雅黑" w:cs="仿宋_GB2312"/>
                <w:sz w:val="24"/>
                <w:lang w:val="en-US" w:eastAsia="zh-CN"/>
              </w:rPr>
              <w:t>40</w:t>
            </w:r>
            <w:r>
              <w:rPr>
                <w:rFonts w:hint="eastAsia" w:ascii="微软雅黑" w:hAnsi="微软雅黑" w:eastAsia="微软雅黑" w:cs="仿宋_GB2312"/>
                <w:sz w:val="24"/>
              </w:rPr>
              <w:t>台，移动平板127台，投影仪16台，复印机2</w:t>
            </w:r>
            <w:r>
              <w:rPr>
                <w:rFonts w:hint="eastAsia" w:ascii="微软雅黑" w:hAnsi="微软雅黑" w:eastAsia="微软雅黑" w:cs="仿宋_GB2312"/>
                <w:sz w:val="24"/>
                <w:lang w:val="en-US" w:eastAsia="zh-CN"/>
              </w:rPr>
              <w:t>4</w:t>
            </w:r>
            <w:r>
              <w:rPr>
                <w:rFonts w:hint="eastAsia" w:ascii="微软雅黑" w:hAnsi="微软雅黑" w:eastAsia="微软雅黑" w:cs="仿宋_GB2312"/>
                <w:sz w:val="24"/>
              </w:rPr>
              <w:t>台，碎纸机</w:t>
            </w:r>
            <w:r>
              <w:rPr>
                <w:rFonts w:hint="eastAsia" w:ascii="微软雅黑" w:hAnsi="微软雅黑" w:eastAsia="微软雅黑" w:cs="仿宋_GB2312"/>
                <w:sz w:val="24"/>
                <w:lang w:val="en-US" w:eastAsia="zh-CN"/>
              </w:rPr>
              <w:t>39</w:t>
            </w:r>
            <w:r>
              <w:rPr>
                <w:rFonts w:hint="eastAsia" w:ascii="微软雅黑" w:hAnsi="微软雅黑" w:eastAsia="微软雅黑" w:cs="仿宋_GB2312"/>
                <w:sz w:val="24"/>
              </w:rPr>
              <w:t>台，数码相机及摄像机78台，以及其他未说明的电子办公设备。（设备总量变化在20%左右，不得增加费用）</w:t>
            </w:r>
          </w:p>
          <w:p>
            <w:pPr>
              <w:spacing w:line="360" w:lineRule="auto"/>
              <w:ind w:firstLine="560"/>
              <w:rPr>
                <w:rFonts w:ascii="微软雅黑" w:hAnsi="微软雅黑" w:eastAsia="微软雅黑" w:cs="仿宋_GB2312"/>
                <w:sz w:val="24"/>
              </w:rPr>
            </w:pPr>
            <w:r>
              <w:rPr>
                <w:rFonts w:hint="eastAsia" w:ascii="微软雅黑" w:hAnsi="微软雅黑" w:eastAsia="微软雅黑" w:cs="仿宋_GB2312"/>
                <w:sz w:val="24"/>
              </w:rPr>
              <w:t>维护内容：对上述产品进行维护，维护要求如下：</w:t>
            </w:r>
          </w:p>
          <w:p>
            <w:pPr>
              <w:spacing w:line="360" w:lineRule="auto"/>
              <w:ind w:firstLine="480" w:firstLineChars="200"/>
              <w:jc w:val="left"/>
              <w:rPr>
                <w:rFonts w:ascii="宋体" w:hAnsi="宋体"/>
                <w:sz w:val="24"/>
              </w:rPr>
            </w:pPr>
            <w:r>
              <w:rPr>
                <w:rFonts w:hint="eastAsia" w:ascii="宋体" w:hAnsi="宋体"/>
                <w:sz w:val="24"/>
              </w:rPr>
              <w:t>2、内容</w:t>
            </w:r>
          </w:p>
          <w:p>
            <w:pPr>
              <w:spacing w:line="360" w:lineRule="auto"/>
              <w:ind w:firstLine="480" w:firstLineChars="200"/>
              <w:jc w:val="left"/>
              <w:rPr>
                <w:rFonts w:ascii="宋体" w:hAnsi="宋体"/>
                <w:sz w:val="24"/>
              </w:rPr>
            </w:pPr>
            <w:r>
              <w:rPr>
                <w:rFonts w:hint="eastAsia" w:ascii="宋体" w:hAnsi="宋体"/>
                <w:sz w:val="24"/>
              </w:rPr>
              <w:t>(1)硬件维护所有指定维护范围内的计算机及其外设的搬运、安装、调试、组装与移位等。</w:t>
            </w:r>
          </w:p>
          <w:p>
            <w:pPr>
              <w:spacing w:line="360" w:lineRule="auto"/>
              <w:ind w:firstLine="480" w:firstLineChars="200"/>
              <w:jc w:val="left"/>
              <w:rPr>
                <w:rFonts w:ascii="宋体" w:hAnsi="宋体"/>
                <w:sz w:val="24"/>
              </w:rPr>
            </w:pPr>
            <w:r>
              <w:rPr>
                <w:rFonts w:hint="eastAsia" w:ascii="宋体" w:hAnsi="宋体"/>
                <w:sz w:val="24"/>
              </w:rPr>
              <w:t>(2)系统安装：电脑操作系统的安装、调试及升级；外设（打印机、扫描仪等设备）的相关驱动程序及软件的安装调试；经用户授权进行应用软件安装、升级并排除软件使用过程中的故障；解决软件冲突造成的系统故障；计算机标配的软件备份，包括随机恢复光盘，附带赠送软件、驱动程序等；负责清除计算机电脑病毒；计算机外设的软件备份和管理。包括操作系统、办公软件、防病毒软件、打印机驱动及其它应用软件的安装、卸载与修复。</w:t>
            </w:r>
          </w:p>
          <w:p>
            <w:pPr>
              <w:spacing w:line="360" w:lineRule="auto"/>
              <w:ind w:firstLine="480" w:firstLineChars="200"/>
              <w:jc w:val="left"/>
              <w:rPr>
                <w:rFonts w:ascii="宋体" w:hAnsi="宋体"/>
                <w:sz w:val="24"/>
              </w:rPr>
            </w:pPr>
            <w:r>
              <w:rPr>
                <w:rFonts w:hint="eastAsia" w:ascii="宋体" w:hAnsi="宋体"/>
                <w:sz w:val="24"/>
              </w:rPr>
              <w:t>(3)系统状态维护及优化：保持计算机系统处于经优化的良好运行状态，并能正常连接办公网络，避免系统受病毒及其它不良代码影响而导致影响办公。</w:t>
            </w:r>
          </w:p>
          <w:p>
            <w:pPr>
              <w:spacing w:line="360" w:lineRule="auto"/>
              <w:ind w:firstLine="480" w:firstLineChars="200"/>
              <w:jc w:val="left"/>
              <w:rPr>
                <w:rFonts w:hint="eastAsia" w:ascii="宋体" w:hAnsi="宋体"/>
                <w:sz w:val="24"/>
              </w:rPr>
            </w:pPr>
            <w:r>
              <w:rPr>
                <w:rFonts w:hint="eastAsia" w:ascii="宋体" w:hAnsi="宋体"/>
                <w:sz w:val="24"/>
              </w:rPr>
              <w:t>(4)故障检测与修复：包括软件故障检测与修复，硬件故障检测。</w:t>
            </w:r>
          </w:p>
          <w:p>
            <w:pPr>
              <w:spacing w:line="360" w:lineRule="auto"/>
              <w:ind w:firstLine="480" w:firstLineChars="200"/>
              <w:jc w:val="left"/>
              <w:rPr>
                <w:rFonts w:hint="eastAsia" w:ascii="宋体" w:hAnsi="宋体"/>
                <w:sz w:val="24"/>
              </w:rPr>
            </w:pPr>
            <w:r>
              <w:rPr>
                <w:rFonts w:hint="eastAsia" w:ascii="宋体" w:hAnsi="宋体"/>
                <w:sz w:val="24"/>
              </w:rPr>
              <w:t>设备更换：维护过程中设备损坏无法修复的应事先向</w:t>
            </w:r>
            <w:r>
              <w:rPr>
                <w:rFonts w:hint="eastAsia" w:ascii="宋体" w:hAnsi="宋体"/>
                <w:sz w:val="24"/>
                <w:lang w:eastAsia="zh-CN"/>
              </w:rPr>
              <w:t>设备使用人反馈</w:t>
            </w:r>
            <w:r>
              <w:rPr>
                <w:rFonts w:hint="eastAsia" w:ascii="宋体" w:hAnsi="宋体"/>
                <w:sz w:val="24"/>
              </w:rPr>
              <w:t>，由</w:t>
            </w:r>
            <w:r>
              <w:rPr>
                <w:rFonts w:hint="eastAsia" w:ascii="宋体" w:hAnsi="宋体"/>
                <w:sz w:val="24"/>
                <w:lang w:eastAsia="zh-CN"/>
              </w:rPr>
              <w:t>设备使用人呈批设备维修单</w:t>
            </w:r>
            <w:r>
              <w:rPr>
                <w:rFonts w:hint="eastAsia" w:ascii="宋体" w:hAnsi="宋体"/>
                <w:sz w:val="24"/>
              </w:rPr>
              <w:t>后，办公室负责购买或委托</w:t>
            </w:r>
            <w:r>
              <w:rPr>
                <w:rFonts w:hint="eastAsia" w:ascii="宋体" w:hAnsi="宋体"/>
                <w:sz w:val="24"/>
                <w:lang w:eastAsia="zh-CN"/>
              </w:rPr>
              <w:t>运维</w:t>
            </w:r>
            <w:r>
              <w:rPr>
                <w:rFonts w:hint="eastAsia" w:ascii="宋体" w:hAnsi="宋体"/>
                <w:sz w:val="24"/>
              </w:rPr>
              <w:t>公司购买，</w:t>
            </w:r>
            <w:r>
              <w:rPr>
                <w:rFonts w:hint="eastAsia" w:ascii="宋体" w:hAnsi="宋体"/>
                <w:sz w:val="24"/>
                <w:lang w:eastAsia="zh-CN"/>
              </w:rPr>
              <w:t>运维人员</w:t>
            </w:r>
            <w:r>
              <w:rPr>
                <w:rFonts w:hint="eastAsia" w:ascii="宋体" w:hAnsi="宋体"/>
                <w:sz w:val="24"/>
              </w:rPr>
              <w:t>负责安装。</w:t>
            </w:r>
          </w:p>
          <w:p>
            <w:pPr>
              <w:spacing w:line="360" w:lineRule="auto"/>
              <w:ind w:firstLine="480" w:firstLineChars="200"/>
              <w:jc w:val="left"/>
              <w:rPr>
                <w:rFonts w:hint="eastAsia" w:ascii="宋体" w:hAnsi="宋体"/>
                <w:sz w:val="24"/>
              </w:rPr>
            </w:pPr>
            <w:r>
              <w:rPr>
                <w:rFonts w:hint="eastAsia" w:ascii="宋体" w:hAnsi="宋体"/>
                <w:sz w:val="24"/>
              </w:rPr>
              <w:t>(5)打印机的定期清洗和保养。</w:t>
            </w:r>
          </w:p>
          <w:p>
            <w:pPr>
              <w:spacing w:line="360" w:lineRule="auto"/>
              <w:ind w:firstLine="480" w:firstLineChars="200"/>
              <w:jc w:val="left"/>
              <w:rPr>
                <w:rFonts w:ascii="宋体" w:hAnsi="宋体"/>
                <w:sz w:val="24"/>
              </w:rPr>
            </w:pPr>
            <w:r>
              <w:rPr>
                <w:rFonts w:hint="eastAsia" w:ascii="宋体" w:hAnsi="宋体"/>
                <w:sz w:val="24"/>
              </w:rPr>
              <w:t>(6)会议投影设备：主要包括市规划和自然资源局花都区分局内重大会议以及其他部门需要市规划和自然资源局花都区分局协助的会议中，投影设备的搬运、安装、调试、维护。</w:t>
            </w:r>
          </w:p>
          <w:p>
            <w:pPr>
              <w:spacing w:line="360" w:lineRule="auto"/>
              <w:ind w:firstLine="480" w:firstLineChars="200"/>
              <w:jc w:val="left"/>
              <w:rPr>
                <w:rFonts w:ascii="宋体" w:hAnsi="宋体"/>
                <w:sz w:val="24"/>
              </w:rPr>
            </w:pPr>
            <w:r>
              <w:rPr>
                <w:rFonts w:hint="eastAsia" w:ascii="宋体" w:hAnsi="宋体"/>
                <w:sz w:val="24"/>
              </w:rPr>
              <w:t>(7)巡检：维护方应每季度为用户方软硬件设备</w:t>
            </w:r>
            <w:bookmarkStart w:id="89" w:name="_GoBack"/>
            <w:bookmarkEnd w:id="89"/>
            <w:r>
              <w:rPr>
                <w:rFonts w:hint="eastAsia" w:ascii="宋体" w:hAnsi="宋体"/>
                <w:sz w:val="24"/>
              </w:rPr>
              <w:t>作一次巡检，主动维护好计算机及外设设备，检查硬件实际配置是否和设备登记表相符，保障用户正常办公。在巡检过程中，要根据市规划和自然资源局花都区分局办公室要求做好有关工作。</w:t>
            </w:r>
          </w:p>
          <w:p>
            <w:pPr>
              <w:spacing w:line="360" w:lineRule="auto"/>
              <w:ind w:firstLine="480" w:firstLineChars="200"/>
              <w:jc w:val="left"/>
              <w:rPr>
                <w:rFonts w:ascii="宋体" w:hAnsi="宋体"/>
                <w:sz w:val="24"/>
              </w:rPr>
            </w:pPr>
            <w:r>
              <w:rPr>
                <w:rFonts w:hint="eastAsia" w:ascii="宋体" w:hAnsi="宋体"/>
                <w:sz w:val="24"/>
              </w:rPr>
              <w:t>(8)培训：对单位信息人员非定期地作相关维护知识培训。</w:t>
            </w:r>
          </w:p>
          <w:p>
            <w:pPr>
              <w:spacing w:line="360" w:lineRule="auto"/>
              <w:ind w:firstLine="480" w:firstLineChars="200"/>
              <w:jc w:val="left"/>
              <w:rPr>
                <w:rFonts w:ascii="宋体" w:hAnsi="宋体"/>
                <w:sz w:val="24"/>
              </w:rPr>
            </w:pPr>
            <w:r>
              <w:rPr>
                <w:rFonts w:hint="eastAsia" w:ascii="宋体" w:hAnsi="宋体"/>
                <w:sz w:val="24"/>
              </w:rPr>
              <w:t>3、要求</w:t>
            </w:r>
          </w:p>
          <w:p>
            <w:pPr>
              <w:spacing w:line="360" w:lineRule="auto"/>
              <w:ind w:firstLine="480" w:firstLineChars="200"/>
              <w:jc w:val="left"/>
              <w:rPr>
                <w:rFonts w:ascii="宋体" w:hAnsi="宋体"/>
                <w:sz w:val="24"/>
              </w:rPr>
            </w:pPr>
            <w:r>
              <w:rPr>
                <w:rFonts w:hint="eastAsia" w:ascii="宋体" w:hAnsi="宋体"/>
                <w:sz w:val="24"/>
              </w:rPr>
              <w:t>(1)工程师到达时间要求：分以下五种情况：</w:t>
            </w:r>
          </w:p>
          <w:p>
            <w:pPr>
              <w:spacing w:line="360" w:lineRule="auto"/>
              <w:ind w:firstLine="480" w:firstLineChars="200"/>
              <w:jc w:val="left"/>
              <w:rPr>
                <w:rFonts w:ascii="宋体" w:hAnsi="宋体"/>
                <w:sz w:val="24"/>
              </w:rPr>
            </w:pPr>
            <w:r>
              <w:rPr>
                <w:rFonts w:hint="eastAsia" w:ascii="宋体" w:hAnsi="宋体"/>
                <w:sz w:val="24"/>
              </w:rPr>
              <w:t>局领导：在接到服务要求后，5分钟内应达现场并经领导同意后方可排障，原则上半小时内解决并完成服务需求。服务时要尊重领导、有礼貌，注重细节，严禁移动领导办公桌面的物品及翻阅、查看领导桌面及电脑的任何资料。服务完后要迅速离开领导办公室。</w:t>
            </w:r>
          </w:p>
          <w:p>
            <w:pPr>
              <w:spacing w:line="360" w:lineRule="auto"/>
              <w:ind w:firstLine="480" w:firstLineChars="200"/>
              <w:jc w:val="left"/>
              <w:rPr>
                <w:rFonts w:ascii="宋体" w:hAnsi="宋体"/>
                <w:sz w:val="24"/>
              </w:rPr>
            </w:pPr>
            <w:r>
              <w:rPr>
                <w:rFonts w:hint="eastAsia" w:ascii="宋体" w:hAnsi="宋体"/>
                <w:sz w:val="24"/>
              </w:rPr>
              <w:t>普通工作人员：在接到服务要求后，10分钟内到达现场，原则上1小时内解决并完成服务需求。紧急、特殊的服务要求应立即提供服务至解决问题为止。</w:t>
            </w:r>
          </w:p>
          <w:p>
            <w:pPr>
              <w:spacing w:line="360" w:lineRule="auto"/>
              <w:ind w:firstLine="480" w:firstLineChars="200"/>
              <w:jc w:val="left"/>
              <w:rPr>
                <w:rFonts w:ascii="宋体" w:hAnsi="宋体"/>
                <w:sz w:val="24"/>
              </w:rPr>
            </w:pPr>
            <w:r>
              <w:rPr>
                <w:rFonts w:hint="eastAsia" w:ascii="宋体" w:hAnsi="宋体"/>
                <w:sz w:val="24"/>
              </w:rPr>
              <w:t>政务中心窗口：政务中心提供的设备和系统原则上由政务中心驻场的运维人员进行保障，如涉及我局业务系统及我局硬件设备故障需要维修更换的情况，120分钟内到达现场进行服务。</w:t>
            </w:r>
          </w:p>
          <w:p>
            <w:pPr>
              <w:spacing w:line="360" w:lineRule="auto"/>
              <w:ind w:firstLine="480" w:firstLineChars="200"/>
              <w:jc w:val="left"/>
              <w:rPr>
                <w:rFonts w:ascii="宋体" w:hAnsi="宋体"/>
                <w:sz w:val="24"/>
              </w:rPr>
            </w:pPr>
            <w:r>
              <w:rPr>
                <w:rFonts w:hint="eastAsia" w:ascii="宋体" w:hAnsi="宋体"/>
                <w:sz w:val="24"/>
              </w:rPr>
              <w:t>各镇街规划和自然资源所：在接到服务要求后，若是软件方面的，在电脑能正常联网的情况下通过远程协助处理：小件硬件如电脑、打印机送到局内统一服务，大件硬件120分钟内到达现场进行服务。</w:t>
            </w:r>
          </w:p>
          <w:p>
            <w:pPr>
              <w:spacing w:line="360" w:lineRule="auto"/>
              <w:ind w:firstLine="480" w:firstLineChars="200"/>
              <w:jc w:val="left"/>
              <w:rPr>
                <w:rFonts w:ascii="宋体" w:hAnsi="宋体"/>
                <w:sz w:val="24"/>
              </w:rPr>
            </w:pPr>
            <w:r>
              <w:rPr>
                <w:rFonts w:hint="eastAsia" w:ascii="宋体" w:hAnsi="宋体"/>
                <w:sz w:val="24"/>
              </w:rPr>
              <w:t>会议：按照采购人要求提前安装、调试好设备，布置好会场。</w:t>
            </w:r>
          </w:p>
          <w:p>
            <w:pPr>
              <w:spacing w:line="360" w:lineRule="auto"/>
              <w:ind w:firstLine="480" w:firstLineChars="200"/>
              <w:jc w:val="left"/>
              <w:rPr>
                <w:rFonts w:ascii="宋体" w:hAnsi="宋体"/>
                <w:sz w:val="24"/>
              </w:rPr>
            </w:pPr>
            <w:r>
              <w:rPr>
                <w:rFonts w:hint="eastAsia" w:ascii="宋体" w:hAnsi="宋体"/>
                <w:sz w:val="24"/>
              </w:rPr>
              <w:t>(2)质量要求：</w:t>
            </w:r>
          </w:p>
          <w:p>
            <w:pPr>
              <w:spacing w:line="360" w:lineRule="auto"/>
              <w:ind w:firstLine="480" w:firstLineChars="200"/>
              <w:jc w:val="left"/>
              <w:rPr>
                <w:rFonts w:ascii="宋体" w:hAnsi="宋体"/>
                <w:sz w:val="24"/>
              </w:rPr>
            </w:pPr>
            <w:r>
              <w:rPr>
                <w:rFonts w:hint="eastAsia" w:ascii="宋体" w:hAnsi="宋体"/>
                <w:sz w:val="24"/>
              </w:rPr>
              <w:t>要求在10分钟内准确诊断并告知用户故障原因，诊断差错率要控制在5%以内。并向最终用户解释故障发生原因，可能导致的后果，以及拟采取的措施。故障修复过程中可能影响用户工作或对系统应用数据有影响的，要先咨询用户意见再处理。</w:t>
            </w:r>
          </w:p>
          <w:p>
            <w:pPr>
              <w:spacing w:line="360" w:lineRule="auto"/>
              <w:ind w:firstLine="480" w:firstLineChars="200"/>
              <w:jc w:val="left"/>
              <w:rPr>
                <w:rFonts w:ascii="宋体" w:hAnsi="宋体"/>
                <w:sz w:val="24"/>
              </w:rPr>
            </w:pPr>
            <w:r>
              <w:rPr>
                <w:rFonts w:hint="eastAsia" w:ascii="宋体" w:hAnsi="宋体"/>
                <w:sz w:val="24"/>
              </w:rPr>
              <w:t>对于软件故障，应达到以下要求：</w:t>
            </w:r>
          </w:p>
          <w:p>
            <w:pPr>
              <w:numPr>
                <w:ilvl w:val="0"/>
                <w:numId w:val="5"/>
              </w:numPr>
              <w:spacing w:line="360" w:lineRule="auto"/>
              <w:ind w:firstLine="480" w:firstLineChars="200"/>
              <w:jc w:val="left"/>
              <w:rPr>
                <w:rFonts w:ascii="宋体" w:hAnsi="宋体"/>
                <w:sz w:val="24"/>
              </w:rPr>
            </w:pPr>
            <w:r>
              <w:rPr>
                <w:rFonts w:hint="eastAsia" w:ascii="宋体" w:hAnsi="宋体"/>
                <w:sz w:val="24"/>
              </w:rPr>
              <w:t>保证用户数据的安全。</w:t>
            </w:r>
          </w:p>
          <w:p>
            <w:pPr>
              <w:numPr>
                <w:ilvl w:val="0"/>
                <w:numId w:val="5"/>
              </w:numPr>
              <w:spacing w:line="360" w:lineRule="auto"/>
              <w:ind w:firstLine="480" w:firstLineChars="200"/>
              <w:jc w:val="left"/>
              <w:rPr>
                <w:rFonts w:ascii="宋体" w:hAnsi="宋体"/>
                <w:sz w:val="24"/>
              </w:rPr>
            </w:pPr>
            <w:r>
              <w:rPr>
                <w:rFonts w:hint="eastAsia" w:ascii="宋体" w:hAnsi="宋体"/>
                <w:sz w:val="24"/>
              </w:rPr>
              <w:t>软件故障修改后系统至少保持2周不出现同样故障。</w:t>
            </w:r>
          </w:p>
          <w:p>
            <w:pPr>
              <w:numPr>
                <w:ilvl w:val="0"/>
                <w:numId w:val="5"/>
              </w:numPr>
              <w:spacing w:line="360" w:lineRule="auto"/>
              <w:ind w:firstLine="480" w:firstLineChars="200"/>
              <w:jc w:val="left"/>
              <w:rPr>
                <w:rFonts w:ascii="宋体" w:hAnsi="宋体"/>
                <w:sz w:val="24"/>
              </w:rPr>
            </w:pPr>
            <w:r>
              <w:rPr>
                <w:rFonts w:hint="eastAsia" w:ascii="宋体" w:hAnsi="宋体"/>
                <w:sz w:val="24"/>
              </w:rPr>
              <w:t>系统尽可能恢复至故障前使用时最优状态。</w:t>
            </w:r>
          </w:p>
          <w:p>
            <w:pPr>
              <w:spacing w:line="360" w:lineRule="auto"/>
              <w:ind w:firstLine="480" w:firstLineChars="200"/>
              <w:jc w:val="left"/>
              <w:rPr>
                <w:rFonts w:ascii="宋体" w:hAnsi="宋体"/>
                <w:sz w:val="24"/>
              </w:rPr>
            </w:pPr>
            <w:r>
              <w:rPr>
                <w:rFonts w:hint="eastAsia" w:ascii="宋体" w:hAnsi="宋体"/>
                <w:sz w:val="24"/>
              </w:rPr>
              <w:t>对于硬件故障，应达到以下要求：</w:t>
            </w:r>
          </w:p>
          <w:p>
            <w:pPr>
              <w:numPr>
                <w:ilvl w:val="0"/>
                <w:numId w:val="5"/>
              </w:numPr>
              <w:spacing w:line="360" w:lineRule="auto"/>
              <w:ind w:firstLine="480" w:firstLineChars="200"/>
              <w:jc w:val="left"/>
              <w:rPr>
                <w:rFonts w:ascii="宋体" w:hAnsi="宋体"/>
                <w:sz w:val="24"/>
              </w:rPr>
            </w:pPr>
            <w:r>
              <w:rPr>
                <w:rFonts w:hint="eastAsia" w:ascii="宋体" w:hAnsi="宋体"/>
                <w:sz w:val="24"/>
              </w:rPr>
              <w:t>非更换硬件的故障修复至少保持1月不出现同样故障。</w:t>
            </w:r>
          </w:p>
          <w:p>
            <w:pPr>
              <w:numPr>
                <w:ilvl w:val="0"/>
                <w:numId w:val="5"/>
              </w:numPr>
              <w:spacing w:line="360" w:lineRule="auto"/>
              <w:ind w:firstLine="480" w:firstLineChars="200"/>
              <w:jc w:val="left"/>
              <w:rPr>
                <w:rFonts w:ascii="宋体" w:hAnsi="宋体"/>
                <w:sz w:val="24"/>
              </w:rPr>
            </w:pPr>
            <w:r>
              <w:rPr>
                <w:rFonts w:hint="eastAsia" w:ascii="宋体" w:hAnsi="宋体"/>
                <w:sz w:val="24"/>
              </w:rPr>
              <w:t>如要更换硬件或移机维修的，须向最终用户解释，并明确维护所需的时间及费用，在征得用户同意后才操作。</w:t>
            </w:r>
          </w:p>
          <w:p>
            <w:pPr>
              <w:numPr>
                <w:ilvl w:val="0"/>
                <w:numId w:val="5"/>
              </w:numPr>
              <w:spacing w:line="360" w:lineRule="auto"/>
              <w:ind w:firstLine="480" w:firstLineChars="200"/>
              <w:jc w:val="left"/>
              <w:rPr>
                <w:rFonts w:ascii="宋体" w:hAnsi="宋体"/>
                <w:sz w:val="24"/>
              </w:rPr>
            </w:pPr>
            <w:r>
              <w:rPr>
                <w:rFonts w:hint="eastAsia" w:ascii="宋体" w:hAnsi="宋体"/>
                <w:sz w:val="24"/>
              </w:rPr>
              <w:t>对于维修时间较长的故障，应达到以下要求：</w:t>
            </w:r>
          </w:p>
          <w:p>
            <w:pPr>
              <w:numPr>
                <w:ilvl w:val="0"/>
                <w:numId w:val="6"/>
              </w:numPr>
              <w:spacing w:line="360" w:lineRule="auto"/>
              <w:ind w:firstLine="480" w:firstLineChars="200"/>
              <w:jc w:val="left"/>
              <w:rPr>
                <w:rFonts w:ascii="宋体" w:hAnsi="宋体"/>
                <w:sz w:val="24"/>
              </w:rPr>
            </w:pPr>
            <w:r>
              <w:rPr>
                <w:rFonts w:hint="eastAsia" w:ascii="宋体" w:hAnsi="宋体"/>
                <w:sz w:val="24"/>
              </w:rPr>
              <w:t>如果设备送修，需要保护好磁盘等存贮设备。要先将用户数据备份好，再送修改。整个过程要根据用户保密方面的要求做好文件数据资料的安全与保密。</w:t>
            </w:r>
          </w:p>
          <w:p>
            <w:pPr>
              <w:numPr>
                <w:ilvl w:val="0"/>
                <w:numId w:val="6"/>
              </w:numPr>
              <w:spacing w:line="360" w:lineRule="auto"/>
              <w:ind w:firstLine="480" w:firstLineChars="200"/>
              <w:jc w:val="left"/>
              <w:rPr>
                <w:rFonts w:ascii="宋体" w:hAnsi="宋体"/>
                <w:sz w:val="24"/>
              </w:rPr>
            </w:pPr>
            <w:r>
              <w:rPr>
                <w:rFonts w:hint="eastAsia" w:ascii="宋体" w:hAnsi="宋体"/>
                <w:sz w:val="24"/>
              </w:rPr>
              <w:t>需要提供备机服务，以保证用户工作得以正常开展。</w:t>
            </w:r>
          </w:p>
          <w:p>
            <w:pPr>
              <w:numPr>
                <w:ilvl w:val="0"/>
                <w:numId w:val="6"/>
              </w:numPr>
              <w:spacing w:line="360" w:lineRule="auto"/>
              <w:ind w:firstLine="480" w:firstLineChars="200"/>
              <w:jc w:val="left"/>
              <w:rPr>
                <w:rFonts w:ascii="宋体" w:hAnsi="宋体"/>
                <w:sz w:val="24"/>
              </w:rPr>
            </w:pPr>
            <w:r>
              <w:rPr>
                <w:rFonts w:hint="eastAsia" w:ascii="宋体" w:hAnsi="宋体"/>
                <w:sz w:val="24"/>
              </w:rPr>
              <w:t>桌面终端需要维护人员在指定地点对设备进行现场维护，保证设备的正常运行，并遵守相关的工作和保密方面的管理制度。维护人员需要具有良好的思想和职业道德，具有高度的工作责任感。</w:t>
            </w:r>
          </w:p>
          <w:p>
            <w:pPr>
              <w:numPr>
                <w:ilvl w:val="0"/>
                <w:numId w:val="6"/>
              </w:numPr>
              <w:spacing w:line="360" w:lineRule="auto"/>
              <w:ind w:firstLine="480" w:firstLineChars="200"/>
              <w:jc w:val="left"/>
              <w:rPr>
                <w:rFonts w:ascii="宋体" w:hAnsi="宋体"/>
                <w:sz w:val="24"/>
              </w:rPr>
            </w:pPr>
            <w:r>
              <w:rPr>
                <w:rFonts w:hint="eastAsia" w:ascii="宋体" w:hAnsi="宋体"/>
                <w:sz w:val="24"/>
              </w:rPr>
              <w:t>对局内的终端设备，每年进行一次登记检查</w:t>
            </w: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pStyle w:val="3"/>
              <w:ind w:left="0" w:firstLine="480" w:firstLineChars="200"/>
              <w:rPr>
                <w:rFonts w:ascii="微软雅黑" w:hAnsi="微软雅黑" w:eastAsia="微软雅黑" w:cs="仿宋_GB2312"/>
                <w:b/>
                <w:szCs w:val="24"/>
              </w:rPr>
            </w:pPr>
            <w:r>
              <w:rPr>
                <w:rFonts w:hint="eastAsia" w:ascii="微软雅黑" w:hAnsi="微软雅黑" w:eastAsia="微软雅黑" w:cs="仿宋_GB2312"/>
                <w:b/>
                <w:szCs w:val="24"/>
              </w:rPr>
              <w:t>4. 视频监控系统</w:t>
            </w:r>
          </w:p>
          <w:p>
            <w:pPr>
              <w:spacing w:line="360" w:lineRule="auto"/>
              <w:ind w:left="560"/>
              <w:rPr>
                <w:rFonts w:ascii="宋体" w:hAnsi="宋体"/>
                <w:b/>
                <w:sz w:val="24"/>
              </w:rPr>
            </w:pPr>
            <w:r>
              <w:rPr>
                <w:rFonts w:hint="eastAsia" w:ascii="宋体" w:hAnsi="宋体"/>
                <w:b/>
                <w:sz w:val="24"/>
              </w:rPr>
              <w:t>注：该项目运维期间增加的视频监控设备，原则上由设备供应方负责保修，本项目运维方负责日常管理及协调供应方进行相关维保工作。</w:t>
            </w:r>
          </w:p>
          <w:p>
            <w:pPr>
              <w:spacing w:line="360" w:lineRule="auto"/>
              <w:ind w:left="560"/>
              <w:rPr>
                <w:rFonts w:ascii="微软雅黑" w:hAnsi="微软雅黑" w:eastAsia="微软雅黑" w:cs="仿宋_GB2312"/>
                <w:sz w:val="24"/>
              </w:rPr>
            </w:pPr>
            <w:r>
              <w:rPr>
                <w:rFonts w:hint="eastAsia" w:ascii="宋体" w:hAnsi="宋体"/>
                <w:sz w:val="24"/>
              </w:rPr>
              <w:t>1、现状</w:t>
            </w:r>
            <w:r>
              <w:rPr>
                <w:rFonts w:hint="eastAsia" w:ascii="微软雅黑" w:hAnsi="微软雅黑" w:eastAsia="微软雅黑" w:cs="仿宋_GB2312"/>
                <w:sz w:val="24"/>
              </w:rPr>
              <w:t xml:space="preserve"> </w:t>
            </w:r>
          </w:p>
          <w:p>
            <w:pPr>
              <w:pStyle w:val="11"/>
              <w:ind w:firstLine="480"/>
              <w:jc w:val="left"/>
              <w:rPr>
                <w:rFonts w:ascii="宋体" w:hAnsi="宋体"/>
                <w:sz w:val="24"/>
              </w:rPr>
            </w:pPr>
            <w:r>
              <w:rPr>
                <w:rFonts w:hint="eastAsia" w:ascii="宋体" w:hAnsi="宋体"/>
                <w:sz w:val="24"/>
              </w:rPr>
              <w:t>1）DVSONE16路硬盘录像机7台。</w:t>
            </w:r>
          </w:p>
          <w:p>
            <w:pPr>
              <w:pStyle w:val="11"/>
              <w:ind w:firstLine="480"/>
              <w:jc w:val="left"/>
              <w:rPr>
                <w:rFonts w:ascii="宋体" w:hAnsi="宋体"/>
                <w:sz w:val="24"/>
              </w:rPr>
            </w:pPr>
            <w:r>
              <w:rPr>
                <w:rFonts w:hint="eastAsia" w:ascii="宋体" w:hAnsi="宋体"/>
                <w:sz w:val="24"/>
              </w:rPr>
              <w:t>2）共计有11</w:t>
            </w:r>
            <w:r>
              <w:rPr>
                <w:rFonts w:hint="eastAsia" w:ascii="宋体" w:hAnsi="宋体"/>
                <w:color w:val="00B050"/>
                <w:sz w:val="24"/>
              </w:rPr>
              <w:t>5</w:t>
            </w:r>
            <w:r>
              <w:rPr>
                <w:rFonts w:hint="eastAsia" w:ascii="宋体" w:hAnsi="宋体"/>
                <w:sz w:val="24"/>
              </w:rPr>
              <w:t>支摄像机接入硬盘录像机（固定摄像机98路和球机12路）。</w:t>
            </w:r>
          </w:p>
          <w:p>
            <w:pPr>
              <w:pStyle w:val="11"/>
              <w:ind w:firstLine="480"/>
              <w:jc w:val="left"/>
              <w:rPr>
                <w:rFonts w:ascii="宋体" w:hAnsi="宋体"/>
                <w:sz w:val="24"/>
              </w:rPr>
            </w:pPr>
            <w:r>
              <w:rPr>
                <w:rFonts w:hint="eastAsia" w:ascii="宋体" w:hAnsi="宋体"/>
                <w:sz w:val="24"/>
              </w:rPr>
              <w:t>3）DVSONE112路视频监控矩阵1套。</w:t>
            </w:r>
          </w:p>
          <w:p>
            <w:pPr>
              <w:pStyle w:val="11"/>
              <w:ind w:firstLine="480"/>
              <w:jc w:val="left"/>
              <w:rPr>
                <w:rFonts w:ascii="宋体" w:hAnsi="宋体"/>
                <w:sz w:val="24"/>
              </w:rPr>
            </w:pPr>
            <w:r>
              <w:rPr>
                <w:rFonts w:hint="eastAsia" w:ascii="宋体" w:hAnsi="宋体"/>
                <w:sz w:val="24"/>
              </w:rPr>
              <w:t>4）电视墙一套（50寸显示器1台和17寸显示器8台）。</w:t>
            </w:r>
          </w:p>
          <w:p>
            <w:pPr>
              <w:pStyle w:val="11"/>
              <w:ind w:firstLine="480"/>
              <w:jc w:val="left"/>
              <w:rPr>
                <w:rFonts w:ascii="宋体" w:hAnsi="宋体"/>
                <w:sz w:val="24"/>
              </w:rPr>
            </w:pPr>
            <w:r>
              <w:rPr>
                <w:rFonts w:hint="eastAsia" w:ascii="宋体" w:hAnsi="宋体"/>
                <w:sz w:val="24"/>
              </w:rPr>
              <w:t>5） 红外报警系统1套，含9对红外对射。</w:t>
            </w:r>
          </w:p>
          <w:p>
            <w:pPr>
              <w:spacing w:line="360" w:lineRule="auto"/>
              <w:ind w:firstLine="560"/>
              <w:rPr>
                <w:rFonts w:ascii="微软雅黑" w:hAnsi="微软雅黑" w:eastAsia="微软雅黑" w:cs="仿宋_GB2312"/>
                <w:sz w:val="24"/>
              </w:rPr>
            </w:pPr>
            <w:r>
              <w:rPr>
                <w:rFonts w:hint="eastAsia" w:ascii="微软雅黑" w:hAnsi="微软雅黑" w:eastAsia="微软雅黑" w:cs="仿宋_GB2312"/>
                <w:sz w:val="24"/>
              </w:rPr>
              <w:t>维护内容：对上述产品进行维护，维护要求如下：</w:t>
            </w:r>
          </w:p>
          <w:p>
            <w:pPr>
              <w:spacing w:line="360" w:lineRule="auto"/>
              <w:ind w:firstLine="480" w:firstLineChars="200"/>
              <w:jc w:val="left"/>
              <w:rPr>
                <w:rFonts w:ascii="宋体" w:hAnsi="宋体"/>
                <w:sz w:val="24"/>
              </w:rPr>
            </w:pPr>
            <w:r>
              <w:rPr>
                <w:rFonts w:hint="eastAsia" w:ascii="宋体" w:hAnsi="宋体"/>
                <w:sz w:val="24"/>
              </w:rPr>
              <w:t>2、内容</w:t>
            </w:r>
          </w:p>
          <w:p>
            <w:pPr>
              <w:pStyle w:val="7"/>
              <w:spacing w:before="0" w:beforeAutospacing="0" w:after="330" w:afterAutospacing="0" w:line="420" w:lineRule="atLeast"/>
              <w:ind w:firstLine="590" w:firstLineChars="246"/>
              <w:rPr>
                <w:kern w:val="2"/>
              </w:rPr>
            </w:pPr>
            <w:r>
              <w:rPr>
                <w:rFonts w:hint="eastAsia"/>
                <w:kern w:val="2"/>
              </w:rPr>
              <w:t>一</w:t>
            </w:r>
            <w:r>
              <w:rPr>
                <w:kern w:val="2"/>
              </w:rPr>
              <w:t>、按国家有关规范和要求派专业人员对系统定期检查，测试，保养，维修，确保设备正常运行。</w:t>
            </w:r>
          </w:p>
          <w:p>
            <w:pPr>
              <w:pStyle w:val="7"/>
              <w:spacing w:before="0" w:beforeAutospacing="0" w:after="330" w:afterAutospacing="0" w:line="420" w:lineRule="atLeast"/>
              <w:ind w:firstLine="590" w:firstLineChars="246"/>
              <w:rPr>
                <w:kern w:val="2"/>
              </w:rPr>
            </w:pPr>
            <w:r>
              <w:rPr>
                <w:kern w:val="2"/>
              </w:rPr>
              <w:t>（1）对维保项目每</w:t>
            </w:r>
            <w:r>
              <w:rPr>
                <w:rFonts w:hint="eastAsia"/>
                <w:kern w:val="2"/>
              </w:rPr>
              <w:t>15天</w:t>
            </w:r>
            <w:r>
              <w:rPr>
                <w:kern w:val="2"/>
              </w:rPr>
              <w:t>不低于1次进行检测。并填写巡查记录，发现故障及时排除或修复，并作为考核维保工作的依据。</w:t>
            </w:r>
          </w:p>
          <w:p>
            <w:pPr>
              <w:pStyle w:val="7"/>
              <w:spacing w:before="0" w:beforeAutospacing="0" w:after="330" w:afterAutospacing="0" w:line="420" w:lineRule="atLeast"/>
              <w:ind w:firstLine="590" w:firstLineChars="246"/>
              <w:rPr>
                <w:kern w:val="2"/>
              </w:rPr>
            </w:pPr>
            <w:r>
              <w:rPr>
                <w:kern w:val="2"/>
              </w:rPr>
              <w:t>（2）每月1次系统状态进行检查，每年12次。</w:t>
            </w:r>
          </w:p>
          <w:p>
            <w:pPr>
              <w:pStyle w:val="7"/>
              <w:spacing w:before="0" w:beforeAutospacing="0" w:after="330" w:afterAutospacing="0" w:line="420" w:lineRule="atLeast"/>
              <w:ind w:firstLine="590" w:firstLineChars="246"/>
              <w:rPr>
                <w:kern w:val="2"/>
              </w:rPr>
            </w:pPr>
            <w:r>
              <w:rPr>
                <w:kern w:val="2"/>
              </w:rPr>
              <w:t>（3）每季度不低于1次对维保项目进检测。如出现故障或问</w:t>
            </w:r>
            <w:r>
              <w:rPr>
                <w:rFonts w:hint="eastAsia"/>
                <w:kern w:val="2"/>
              </w:rPr>
              <w:t>题</w:t>
            </w:r>
            <w:r>
              <w:rPr>
                <w:kern w:val="2"/>
              </w:rPr>
              <w:t>，要及时排除修复。　　</w:t>
            </w:r>
          </w:p>
          <w:p>
            <w:pPr>
              <w:pStyle w:val="7"/>
              <w:spacing w:before="0" w:beforeAutospacing="0" w:after="330" w:afterAutospacing="0" w:line="420" w:lineRule="atLeast"/>
              <w:ind w:firstLine="510"/>
              <w:rPr>
                <w:kern w:val="2"/>
              </w:rPr>
            </w:pPr>
            <w:r>
              <w:rPr>
                <w:rFonts w:hint="eastAsia"/>
                <w:kern w:val="2"/>
              </w:rPr>
              <w:t>二</w:t>
            </w:r>
            <w:r>
              <w:rPr>
                <w:kern w:val="2"/>
              </w:rPr>
              <w:t>、提供24小时维保电话，</w:t>
            </w:r>
            <w:r>
              <w:rPr>
                <w:rFonts w:hint="eastAsia"/>
                <w:kern w:val="2"/>
              </w:rPr>
              <w:t>24</w:t>
            </w:r>
            <w:r>
              <w:rPr>
                <w:kern w:val="2"/>
              </w:rPr>
              <w:t>*365天随时接受</w:t>
            </w:r>
            <w:r>
              <w:rPr>
                <w:rFonts w:hint="eastAsia"/>
                <w:kern w:val="2"/>
              </w:rPr>
              <w:t>局办公室</w:t>
            </w:r>
            <w:r>
              <w:rPr>
                <w:kern w:val="2"/>
              </w:rPr>
              <w:t>的服务请求；接到</w:t>
            </w:r>
            <w:r>
              <w:rPr>
                <w:rFonts w:hint="eastAsia"/>
                <w:kern w:val="2"/>
              </w:rPr>
              <w:t>办公室</w:t>
            </w:r>
            <w:r>
              <w:rPr>
                <w:kern w:val="2"/>
              </w:rPr>
              <w:t>服务请求后，</w:t>
            </w:r>
            <w:r>
              <w:rPr>
                <w:rFonts w:hint="eastAsia"/>
                <w:kern w:val="2"/>
              </w:rPr>
              <w:t>维保</w:t>
            </w:r>
            <w:r>
              <w:rPr>
                <w:kern w:val="2"/>
              </w:rPr>
              <w:t>人员及时现场维护，若仍未解决，将会派专业工程师8小时内到达现场。</w:t>
            </w:r>
          </w:p>
          <w:p>
            <w:pPr>
              <w:pStyle w:val="7"/>
              <w:spacing w:before="0" w:beforeAutospacing="0" w:after="330" w:afterAutospacing="0" w:line="420" w:lineRule="atLeast"/>
              <w:ind w:firstLine="510"/>
              <w:rPr>
                <w:kern w:val="2"/>
              </w:rPr>
            </w:pPr>
            <w:r>
              <w:rPr>
                <w:kern w:val="2"/>
              </w:rPr>
              <w:t>（1）维保技术人员对故障进行诊断后，按紧急程度不同划分，最迟在8小时内提交解决方案。</w:t>
            </w:r>
          </w:p>
          <w:p>
            <w:pPr>
              <w:pStyle w:val="7"/>
              <w:spacing w:before="0" w:beforeAutospacing="0" w:after="330" w:afterAutospacing="0" w:line="420" w:lineRule="atLeast"/>
              <w:ind w:firstLine="510"/>
              <w:rPr>
                <w:kern w:val="2"/>
              </w:rPr>
            </w:pPr>
            <w:r>
              <w:rPr>
                <w:kern w:val="2"/>
              </w:rPr>
              <w:t>（2）维保技术人员到达现场后需持续工作直到设备正常运行，一般故障应当在24小时内修复；如需等待购买配件或因设备本身等原因不能及时修复的，要立即向业主报告，并采取相应的应急措施，在此期间，系统中断运行不得超过</w:t>
            </w:r>
            <w:r>
              <w:rPr>
                <w:rFonts w:hint="eastAsia"/>
                <w:kern w:val="2"/>
              </w:rPr>
              <w:t>48</w:t>
            </w:r>
            <w:r>
              <w:rPr>
                <w:kern w:val="2"/>
              </w:rPr>
              <w:t>小时。</w:t>
            </w:r>
          </w:p>
          <w:p>
            <w:pPr>
              <w:pStyle w:val="7"/>
              <w:spacing w:before="0" w:beforeAutospacing="0" w:after="330" w:afterAutospacing="0" w:line="420" w:lineRule="atLeast"/>
              <w:ind w:firstLine="510"/>
              <w:rPr>
                <w:kern w:val="2"/>
              </w:rPr>
            </w:pPr>
            <w:r>
              <w:rPr>
                <w:kern w:val="2"/>
              </w:rPr>
              <w:t>（3）系统或设备修复后必须由</w:t>
            </w:r>
            <w:r>
              <w:rPr>
                <w:rFonts w:hint="eastAsia"/>
                <w:kern w:val="2"/>
              </w:rPr>
              <w:t>局办公室</w:t>
            </w:r>
            <w:r>
              <w:rPr>
                <w:kern w:val="2"/>
              </w:rPr>
              <w:t>相关人员确认。</w:t>
            </w:r>
          </w:p>
          <w:p>
            <w:pPr>
              <w:pStyle w:val="7"/>
              <w:spacing w:before="0" w:beforeAutospacing="0" w:after="330" w:afterAutospacing="0" w:line="420" w:lineRule="atLeast"/>
              <w:ind w:firstLine="510"/>
              <w:rPr>
                <w:kern w:val="2"/>
              </w:rPr>
            </w:pPr>
            <w:r>
              <w:rPr>
                <w:rFonts w:hint="eastAsia"/>
                <w:kern w:val="2"/>
              </w:rPr>
              <w:t>（4）每个季度（日期定为每个季度初）对前端摄像机、监控中心主要设备（存储设备、服务器、监视器、媒体服务器、解码器设备）、编码器进行一次巡检、除尘；对前端摄像机到交换机端的网络线路和从前端摄像机到楼内配电开关的电源线路进行一次检测，保证线路畅通，排除安全隐患。每次巡检、除尘和线路检测完成后需要有巡检和检测报告。</w:t>
            </w:r>
          </w:p>
          <w:p>
            <w:pPr>
              <w:pStyle w:val="7"/>
              <w:spacing w:before="0" w:beforeAutospacing="0" w:after="330" w:afterAutospacing="0" w:line="420" w:lineRule="atLeast"/>
              <w:ind w:firstLine="510"/>
              <w:rPr>
                <w:kern w:val="2"/>
              </w:rPr>
            </w:pPr>
            <w:r>
              <w:rPr>
                <w:rFonts w:hint="eastAsia"/>
                <w:kern w:val="2"/>
              </w:rPr>
              <w:t>（5）对安防监控系统设备的运行情况进行监控，分析运行情况，及时发现并排除故障，半年向客户提交一份系统运行状态及维保记录。</w:t>
            </w:r>
          </w:p>
          <w:p>
            <w:pPr>
              <w:pStyle w:val="7"/>
              <w:spacing w:before="0" w:beforeAutospacing="0" w:after="330" w:afterAutospacing="0" w:line="420" w:lineRule="atLeast"/>
              <w:ind w:firstLine="590" w:firstLineChars="246"/>
              <w:rPr>
                <w:kern w:val="2"/>
              </w:rPr>
            </w:pPr>
            <w:r>
              <w:rPr>
                <w:rFonts w:hint="eastAsia"/>
                <w:kern w:val="2"/>
              </w:rPr>
              <w:t>三</w:t>
            </w:r>
            <w:r>
              <w:rPr>
                <w:kern w:val="2"/>
              </w:rPr>
              <w:t>、设备更换：维护保养过程中</w:t>
            </w:r>
            <w:r>
              <w:rPr>
                <w:rFonts w:hint="eastAsia"/>
                <w:kern w:val="2"/>
              </w:rPr>
              <w:t>设备正常使用的必要耗材</w:t>
            </w:r>
            <w:r>
              <w:rPr>
                <w:kern w:val="2"/>
              </w:rPr>
              <w:t>，</w:t>
            </w:r>
            <w:r>
              <w:rPr>
                <w:rFonts w:hint="eastAsia"/>
                <w:kern w:val="2"/>
              </w:rPr>
              <w:t>公司负责免费维修和更换，前端设备损坏无法修复的</w:t>
            </w:r>
            <w:r>
              <w:rPr>
                <w:kern w:val="2"/>
              </w:rPr>
              <w:t>应事先向</w:t>
            </w:r>
            <w:r>
              <w:rPr>
                <w:rFonts w:hint="eastAsia"/>
                <w:kern w:val="2"/>
              </w:rPr>
              <w:t>局办公室</w:t>
            </w:r>
            <w:r>
              <w:rPr>
                <w:kern w:val="2"/>
              </w:rPr>
              <w:t>报告，由</w:t>
            </w:r>
            <w:r>
              <w:rPr>
                <w:rFonts w:hint="eastAsia"/>
                <w:kern w:val="2"/>
              </w:rPr>
              <w:t>局办公室</w:t>
            </w:r>
            <w:r>
              <w:rPr>
                <w:kern w:val="2"/>
              </w:rPr>
              <w:t>代表签字确认后，</w:t>
            </w:r>
            <w:r>
              <w:rPr>
                <w:rFonts w:hint="eastAsia"/>
                <w:kern w:val="2"/>
              </w:rPr>
              <w:t>由办公室负责购买或委托公司购买，维保单位负责安装。</w:t>
            </w:r>
          </w:p>
          <w:p>
            <w:pPr>
              <w:pStyle w:val="7"/>
              <w:spacing w:before="0" w:beforeAutospacing="0" w:after="330" w:afterAutospacing="0" w:line="420" w:lineRule="atLeast"/>
              <w:ind w:firstLine="590" w:firstLineChars="246"/>
              <w:rPr>
                <w:kern w:val="2"/>
              </w:rPr>
            </w:pPr>
            <w:r>
              <w:rPr>
                <w:rFonts w:hint="eastAsia"/>
                <w:kern w:val="2"/>
              </w:rPr>
              <w:t>四</w:t>
            </w:r>
            <w:r>
              <w:rPr>
                <w:kern w:val="2"/>
              </w:rPr>
              <w:t>、维保单位应向</w:t>
            </w:r>
            <w:r>
              <w:rPr>
                <w:rFonts w:hint="eastAsia"/>
                <w:kern w:val="2"/>
              </w:rPr>
              <w:t>局办公室</w:t>
            </w:r>
            <w:r>
              <w:rPr>
                <w:kern w:val="2"/>
              </w:rPr>
              <w:t>提交详细的工作计划与工作安排，对每次检修、保养工作要认真做好记录，并交</w:t>
            </w:r>
            <w:r>
              <w:rPr>
                <w:rFonts w:hint="eastAsia"/>
                <w:kern w:val="2"/>
              </w:rPr>
              <w:t>办公室</w:t>
            </w:r>
            <w:r>
              <w:rPr>
                <w:kern w:val="2"/>
              </w:rPr>
              <w:t>相关人员签字。</w:t>
            </w:r>
          </w:p>
          <w:p>
            <w:pPr>
              <w:pStyle w:val="7"/>
              <w:spacing w:before="0" w:beforeAutospacing="0" w:after="330" w:afterAutospacing="0" w:line="420" w:lineRule="atLeast"/>
              <w:ind w:firstLine="590" w:firstLineChars="246"/>
              <w:rPr>
                <w:kern w:val="2"/>
              </w:rPr>
            </w:pPr>
            <w:r>
              <w:rPr>
                <w:rFonts w:hint="eastAsia"/>
                <w:kern w:val="2"/>
              </w:rPr>
              <w:t>五</w:t>
            </w:r>
            <w:r>
              <w:rPr>
                <w:kern w:val="2"/>
              </w:rPr>
              <w:t>、</w:t>
            </w:r>
            <w:r>
              <w:rPr>
                <w:rFonts w:hint="eastAsia"/>
                <w:kern w:val="2"/>
              </w:rPr>
              <w:t>甲方会</w:t>
            </w:r>
            <w:r>
              <w:rPr>
                <w:kern w:val="2"/>
              </w:rPr>
              <w:t>切实加强现场管理，确保安全生产，在检修保修中发生人身、设备及第三者事故，乙方不承担任何责任。</w:t>
            </w:r>
          </w:p>
          <w:p>
            <w:pPr>
              <w:spacing w:line="360" w:lineRule="auto"/>
              <w:ind w:firstLine="480" w:firstLineChars="200"/>
              <w:jc w:val="left"/>
              <w:rPr>
                <w:rFonts w:ascii="宋体" w:hAnsi="宋体"/>
                <w:sz w:val="24"/>
              </w:rPr>
            </w:pPr>
            <w:r>
              <w:rPr>
                <w:rFonts w:hint="eastAsia" w:ascii="宋体" w:hAnsi="宋体"/>
                <w:sz w:val="24"/>
              </w:rPr>
              <w:t>六</w:t>
            </w:r>
            <w:r>
              <w:rPr>
                <w:rFonts w:ascii="宋体" w:hAnsi="宋体"/>
                <w:sz w:val="24"/>
              </w:rPr>
              <w:t>、</w:t>
            </w:r>
            <w:r>
              <w:rPr>
                <w:rFonts w:hint="eastAsia" w:ascii="宋体" w:hAnsi="宋体"/>
                <w:sz w:val="24"/>
              </w:rPr>
              <w:t>甲方</w:t>
            </w:r>
            <w:r>
              <w:rPr>
                <w:rFonts w:ascii="宋体" w:hAnsi="宋体"/>
                <w:sz w:val="24"/>
              </w:rPr>
              <w:t>不得对相关信息进行查询、下载，不得泄露乙方工作秘密</w:t>
            </w:r>
            <w:r>
              <w:rPr>
                <w:rFonts w:hint="eastAsia" w:ascii="宋体" w:hAnsi="宋体"/>
                <w:sz w:val="24"/>
                <w:lang w:eastAsia="zh-CN"/>
              </w:rPr>
              <w:t>，</w:t>
            </w:r>
            <w:r>
              <w:rPr>
                <w:rFonts w:hint="eastAsia" w:ascii="宋体" w:hAnsi="宋体" w:eastAsia="宋体" w:cs="Times New Roman"/>
                <w:i w:val="0"/>
                <w:iCs w:val="0"/>
                <w:caps w:val="0"/>
                <w:color w:val="auto"/>
                <w:spacing w:val="0"/>
                <w:sz w:val="24"/>
                <w:szCs w:val="24"/>
                <w:shd w:val="clear" w:fill="auto"/>
              </w:rPr>
              <w:t>切实落实保密责任和要求</w:t>
            </w:r>
            <w:r>
              <w:rPr>
                <w:rFonts w:ascii="宋体" w:hAnsi="宋体"/>
                <w:sz w:val="24"/>
              </w:rPr>
              <w:t>。维保单位工作人员进入业主单位展开维保工作，必须遵守业主的相关规章制度，服从业主单位的管理。　</w:t>
            </w:r>
          </w:p>
          <w:p>
            <w:pPr>
              <w:pStyle w:val="7"/>
              <w:spacing w:before="0" w:beforeAutospacing="0" w:after="330" w:afterAutospacing="0" w:line="420" w:lineRule="atLeast"/>
              <w:ind w:firstLine="510"/>
              <w:rPr>
                <w:kern w:val="2"/>
              </w:rPr>
            </w:pPr>
          </w:p>
          <w:p>
            <w:pPr>
              <w:spacing w:line="360" w:lineRule="auto"/>
              <w:jc w:val="left"/>
              <w:rPr>
                <w:rFonts w:ascii="宋体" w:hAnsi="宋体"/>
                <w:sz w:val="24"/>
              </w:rPr>
            </w:pPr>
            <w:r>
              <w:rPr>
                <w:rFonts w:ascii="宋体" w:hAnsi="宋体"/>
                <w:sz w:val="24"/>
              </w:rPr>
              <w:t>　</w:t>
            </w: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560"/>
              <w:rPr>
                <w:rFonts w:ascii="微软雅黑" w:hAnsi="微软雅黑" w:eastAsia="微软雅黑"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运维服务工作要求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jc w:val="center"/>
        </w:trPr>
        <w:tc>
          <w:tcPr>
            <w:tcW w:w="9628" w:type="dxa"/>
            <w:gridSpan w:val="6"/>
            <w:vAlign w:val="center"/>
          </w:tcPr>
          <w:p>
            <w:pPr>
              <w:pStyle w:val="22"/>
              <w:ind w:firstLine="0" w:firstLineChars="0"/>
              <w:rPr>
                <w:rFonts w:ascii="微软雅黑" w:hAnsi="微软雅黑" w:eastAsia="微软雅黑"/>
                <w:b/>
                <w:sz w:val="24"/>
                <w:szCs w:val="24"/>
              </w:rPr>
            </w:pPr>
            <w:r>
              <w:rPr>
                <w:rFonts w:hint="eastAsia" w:ascii="微软雅黑" w:hAnsi="微软雅黑" w:eastAsia="微软雅黑"/>
                <w:b/>
                <w:sz w:val="24"/>
                <w:szCs w:val="24"/>
              </w:rPr>
              <w:t>（一）服务要求</w:t>
            </w:r>
          </w:p>
          <w:tbl>
            <w:tblPr>
              <w:tblStyle w:val="9"/>
              <w:tblW w:w="9053" w:type="dxa"/>
              <w:tblInd w:w="0" w:type="dxa"/>
              <w:tblLayout w:type="fixed"/>
              <w:tblCellMar>
                <w:top w:w="0" w:type="dxa"/>
                <w:left w:w="108" w:type="dxa"/>
                <w:bottom w:w="0" w:type="dxa"/>
                <w:right w:w="108" w:type="dxa"/>
              </w:tblCellMar>
            </w:tblPr>
            <w:tblGrid>
              <w:gridCol w:w="2484"/>
              <w:gridCol w:w="2459"/>
              <w:gridCol w:w="1559"/>
              <w:gridCol w:w="2551"/>
            </w:tblGrid>
            <w:tr>
              <w:tblPrEx>
                <w:tblCellMar>
                  <w:top w:w="0" w:type="dxa"/>
                  <w:left w:w="108" w:type="dxa"/>
                  <w:bottom w:w="0" w:type="dxa"/>
                  <w:right w:w="108" w:type="dxa"/>
                </w:tblCellMar>
              </w:tblPrEx>
              <w:trPr>
                <w:trHeight w:val="270" w:hRule="atLeast"/>
              </w:trPr>
              <w:tc>
                <w:tcPr>
                  <w:tcW w:w="494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服务范围</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服务级别</w:t>
                  </w:r>
                </w:p>
              </w:tc>
              <w:tc>
                <w:tcPr>
                  <w:tcW w:w="25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备注</w:t>
                  </w:r>
                </w:p>
              </w:tc>
            </w:tr>
            <w:tr>
              <w:tblPrEx>
                <w:tblCellMar>
                  <w:top w:w="0" w:type="dxa"/>
                  <w:left w:w="108" w:type="dxa"/>
                  <w:bottom w:w="0" w:type="dxa"/>
                  <w:right w:w="108" w:type="dxa"/>
                </w:tblCellMar>
              </w:tblPrEx>
              <w:trPr>
                <w:trHeight w:val="270" w:hRule="atLeast"/>
              </w:trPr>
              <w:tc>
                <w:tcPr>
                  <w:tcW w:w="4943"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网络设备维护及安全服务</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A</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4943"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会议系统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按照采购人要求</w:t>
                  </w:r>
                </w:p>
              </w:tc>
            </w:tr>
            <w:tr>
              <w:tblPrEx>
                <w:tblCellMar>
                  <w:top w:w="0" w:type="dxa"/>
                  <w:left w:w="108" w:type="dxa"/>
                  <w:bottom w:w="0" w:type="dxa"/>
                  <w:right w:w="108" w:type="dxa"/>
                </w:tblCellMar>
              </w:tblPrEx>
              <w:trPr>
                <w:trHeight w:val="270" w:hRule="atLeast"/>
              </w:trPr>
              <w:tc>
                <w:tcPr>
                  <w:tcW w:w="248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桌面及终端运维</w:t>
                  </w:r>
                </w:p>
              </w:tc>
              <w:tc>
                <w:tcPr>
                  <w:tcW w:w="24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局领导</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A</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24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4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普通工作人员</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B</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70" w:hRule="atLeast"/>
              </w:trPr>
              <w:tc>
                <w:tcPr>
                  <w:tcW w:w="24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4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各镇街规划和自然资源所、</w:t>
                  </w:r>
                  <w:r>
                    <w:rPr>
                      <w:rFonts w:hint="eastAsia" w:ascii="Calibri" w:hAnsi="Calibri"/>
                      <w:szCs w:val="22"/>
                    </w:rPr>
                    <w:t>局驻政务大厅的办事处</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D</w:t>
                  </w:r>
                </w:p>
              </w:tc>
              <w:tc>
                <w:tcPr>
                  <w:tcW w:w="255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bl>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服务级别说明：</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A级服务级别</w:t>
            </w:r>
          </w:p>
          <w:p>
            <w:pPr>
              <w:pStyle w:val="22"/>
              <w:ind w:firstLine="480"/>
              <w:rPr>
                <w:rFonts w:ascii="微软雅黑" w:hAnsi="微软雅黑" w:eastAsia="微软雅黑"/>
                <w:sz w:val="24"/>
                <w:szCs w:val="24"/>
              </w:rPr>
            </w:pPr>
            <w:r>
              <w:rPr>
                <w:rFonts w:hint="eastAsia" w:ascii="微软雅黑" w:hAnsi="微软雅黑" w:eastAsia="微软雅黑"/>
                <w:sz w:val="24"/>
                <w:szCs w:val="24"/>
              </w:rPr>
              <w:t>故障响应时间</w:t>
            </w:r>
            <w:r>
              <w:rPr>
                <w:rFonts w:hint="eastAsia" w:ascii="微软雅黑" w:hAnsi="微软雅黑" w:eastAsia="微软雅黑"/>
                <w:sz w:val="24"/>
                <w:szCs w:val="24"/>
              </w:rPr>
              <w:tab/>
            </w:r>
            <w:r>
              <w:rPr>
                <w:rFonts w:hint="eastAsia" w:ascii="微软雅黑" w:hAnsi="微软雅黑" w:eastAsia="微软雅黑"/>
                <w:sz w:val="24"/>
                <w:szCs w:val="24"/>
              </w:rPr>
              <w:t>5分钟</w:t>
            </w:r>
          </w:p>
          <w:p>
            <w:pPr>
              <w:pStyle w:val="22"/>
              <w:ind w:firstLine="480"/>
              <w:rPr>
                <w:rFonts w:ascii="微软雅黑" w:hAnsi="微软雅黑" w:eastAsia="微软雅黑"/>
                <w:sz w:val="24"/>
                <w:szCs w:val="24"/>
              </w:rPr>
            </w:pPr>
            <w:r>
              <w:rPr>
                <w:rFonts w:hint="eastAsia" w:ascii="微软雅黑" w:hAnsi="微软雅黑" w:eastAsia="微软雅黑"/>
                <w:sz w:val="24"/>
                <w:szCs w:val="24"/>
              </w:rPr>
              <w:t>故障恢复时间</w:t>
            </w:r>
            <w:r>
              <w:rPr>
                <w:rFonts w:hint="eastAsia" w:ascii="微软雅黑" w:hAnsi="微软雅黑" w:eastAsia="微软雅黑"/>
                <w:sz w:val="24"/>
                <w:szCs w:val="24"/>
              </w:rPr>
              <w:tab/>
            </w:r>
            <w:r>
              <w:rPr>
                <w:rFonts w:hint="eastAsia" w:ascii="微软雅黑" w:hAnsi="微软雅黑" w:eastAsia="微软雅黑"/>
                <w:sz w:val="24"/>
                <w:szCs w:val="24"/>
              </w:rPr>
              <w:t>10分钟</w:t>
            </w:r>
          </w:p>
          <w:p>
            <w:pPr>
              <w:pStyle w:val="22"/>
              <w:ind w:firstLine="480"/>
              <w:rPr>
                <w:rFonts w:ascii="微软雅黑" w:hAnsi="微软雅黑" w:eastAsia="微软雅黑"/>
                <w:sz w:val="24"/>
                <w:szCs w:val="24"/>
              </w:rPr>
            </w:pPr>
            <w:r>
              <w:rPr>
                <w:rFonts w:hint="eastAsia" w:ascii="微软雅黑" w:hAnsi="微软雅黑" w:eastAsia="微软雅黑"/>
                <w:sz w:val="24"/>
                <w:szCs w:val="24"/>
              </w:rPr>
              <w:t>备件支持响应</w:t>
            </w:r>
            <w:r>
              <w:rPr>
                <w:rFonts w:hint="eastAsia" w:ascii="微软雅黑" w:hAnsi="微软雅黑" w:eastAsia="微软雅黑"/>
                <w:sz w:val="24"/>
                <w:szCs w:val="24"/>
              </w:rPr>
              <w:tab/>
            </w:r>
            <w:r>
              <w:rPr>
                <w:rFonts w:hint="eastAsia" w:ascii="微软雅黑" w:hAnsi="微软雅黑" w:eastAsia="微软雅黑"/>
                <w:sz w:val="24"/>
                <w:szCs w:val="24"/>
              </w:rPr>
              <w:t>7*24*2</w:t>
            </w:r>
          </w:p>
          <w:p>
            <w:pPr>
              <w:pStyle w:val="22"/>
              <w:ind w:firstLine="480"/>
              <w:rPr>
                <w:rFonts w:ascii="微软雅黑" w:hAnsi="微软雅黑" w:eastAsia="微软雅黑"/>
                <w:sz w:val="24"/>
                <w:szCs w:val="24"/>
              </w:rPr>
            </w:pPr>
            <w:r>
              <w:rPr>
                <w:rFonts w:hint="eastAsia" w:ascii="微软雅黑" w:hAnsi="微软雅黑" w:eastAsia="微软雅黑"/>
                <w:sz w:val="24"/>
                <w:szCs w:val="24"/>
              </w:rPr>
              <w:t>客户满意度</w:t>
            </w:r>
            <w:r>
              <w:rPr>
                <w:rFonts w:hint="eastAsia" w:ascii="微软雅黑" w:hAnsi="微软雅黑" w:eastAsia="微软雅黑"/>
                <w:sz w:val="24"/>
                <w:szCs w:val="24"/>
              </w:rPr>
              <w:tab/>
            </w:r>
            <w:r>
              <w:rPr>
                <w:rFonts w:hint="eastAsia" w:ascii="微软雅黑" w:hAnsi="微软雅黑" w:eastAsia="微软雅黑"/>
                <w:sz w:val="24"/>
                <w:szCs w:val="24"/>
              </w:rPr>
              <w:t>≥95%</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提交报告时间</w:t>
            </w:r>
            <w:r>
              <w:rPr>
                <w:rFonts w:hint="eastAsia" w:ascii="微软雅黑" w:hAnsi="微软雅黑" w:eastAsia="微软雅黑"/>
                <w:sz w:val="24"/>
                <w:szCs w:val="24"/>
              </w:rPr>
              <w:tab/>
            </w:r>
            <w:r>
              <w:rPr>
                <w:rFonts w:hint="eastAsia" w:ascii="微软雅黑" w:hAnsi="微软雅黑" w:eastAsia="微软雅黑"/>
                <w:sz w:val="24"/>
                <w:szCs w:val="24"/>
              </w:rPr>
              <w:t>一月一报</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B级服务级别</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故障响应时间</w:t>
            </w:r>
            <w:r>
              <w:rPr>
                <w:rFonts w:hint="eastAsia" w:ascii="微软雅黑" w:hAnsi="微软雅黑" w:eastAsia="微软雅黑"/>
                <w:sz w:val="24"/>
                <w:szCs w:val="24"/>
              </w:rPr>
              <w:tab/>
            </w:r>
            <w:r>
              <w:rPr>
                <w:rFonts w:hint="eastAsia" w:ascii="微软雅黑" w:hAnsi="微软雅黑" w:eastAsia="微软雅黑"/>
                <w:sz w:val="24"/>
                <w:szCs w:val="24"/>
              </w:rPr>
              <w:t>10分钟</w:t>
            </w:r>
            <w:r>
              <w:rPr>
                <w:rFonts w:hint="eastAsia" w:ascii="微软雅黑" w:hAnsi="微软雅黑" w:eastAsia="微软雅黑"/>
                <w:sz w:val="24"/>
                <w:szCs w:val="24"/>
              </w:rPr>
              <w:tab/>
            </w:r>
            <w:r>
              <w:rPr>
                <w:rFonts w:hint="eastAsia" w:ascii="微软雅黑" w:hAnsi="微软雅黑" w:eastAsia="微软雅黑"/>
                <w:sz w:val="24"/>
                <w:szCs w:val="24"/>
              </w:rPr>
              <w:t xml:space="preserve">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故障恢复时间</w:t>
            </w:r>
            <w:r>
              <w:rPr>
                <w:rFonts w:hint="eastAsia" w:ascii="微软雅黑" w:hAnsi="微软雅黑" w:eastAsia="微软雅黑"/>
                <w:sz w:val="24"/>
                <w:szCs w:val="24"/>
              </w:rPr>
              <w:tab/>
            </w:r>
            <w:r>
              <w:rPr>
                <w:rFonts w:hint="eastAsia" w:ascii="微软雅黑" w:hAnsi="微软雅黑" w:eastAsia="微软雅黑"/>
                <w:sz w:val="24"/>
                <w:szCs w:val="24"/>
              </w:rPr>
              <w:t>1小时</w:t>
            </w:r>
            <w:r>
              <w:rPr>
                <w:rFonts w:hint="eastAsia" w:ascii="微软雅黑" w:hAnsi="微软雅黑" w:eastAsia="微软雅黑"/>
                <w:sz w:val="24"/>
                <w:szCs w:val="24"/>
              </w:rPr>
              <w:tab/>
            </w:r>
            <w:r>
              <w:rPr>
                <w:rFonts w:hint="eastAsia" w:ascii="微软雅黑" w:hAnsi="微软雅黑" w:eastAsia="微软雅黑"/>
                <w:sz w:val="24"/>
                <w:szCs w:val="24"/>
              </w:rPr>
              <w:t xml:space="preserve">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备件支持响应</w:t>
            </w:r>
            <w:r>
              <w:rPr>
                <w:rFonts w:hint="eastAsia" w:ascii="微软雅黑" w:hAnsi="微软雅黑" w:eastAsia="微软雅黑"/>
                <w:sz w:val="24"/>
                <w:szCs w:val="24"/>
              </w:rPr>
              <w:tab/>
            </w:r>
            <w:r>
              <w:rPr>
                <w:rFonts w:hint="eastAsia" w:ascii="微软雅黑" w:hAnsi="微软雅黑" w:eastAsia="微软雅黑"/>
                <w:sz w:val="24"/>
                <w:szCs w:val="24"/>
              </w:rPr>
              <w:t>7*12*4</w:t>
            </w:r>
            <w:r>
              <w:rPr>
                <w:rFonts w:hint="eastAsia" w:ascii="微软雅黑" w:hAnsi="微软雅黑" w:eastAsia="微软雅黑"/>
                <w:sz w:val="24"/>
                <w:szCs w:val="24"/>
              </w:rPr>
              <w:tab/>
            </w:r>
            <w:r>
              <w:rPr>
                <w:rFonts w:hint="eastAsia" w:ascii="微软雅黑" w:hAnsi="微软雅黑" w:eastAsia="微软雅黑"/>
                <w:sz w:val="24"/>
                <w:szCs w:val="24"/>
              </w:rPr>
              <w:t xml:space="preserve">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客户满意度</w:t>
            </w:r>
            <w:r>
              <w:rPr>
                <w:rFonts w:hint="eastAsia" w:ascii="微软雅黑" w:hAnsi="微软雅黑" w:eastAsia="微软雅黑"/>
                <w:sz w:val="24"/>
                <w:szCs w:val="24"/>
              </w:rPr>
              <w:tab/>
            </w:r>
            <w:r>
              <w:rPr>
                <w:rFonts w:hint="eastAsia" w:ascii="微软雅黑" w:hAnsi="微软雅黑" w:eastAsia="微软雅黑"/>
                <w:sz w:val="24"/>
                <w:szCs w:val="24"/>
              </w:rPr>
              <w:t xml:space="preserve">    ≥90%</w:t>
            </w:r>
            <w:r>
              <w:rPr>
                <w:rFonts w:hint="eastAsia" w:ascii="微软雅黑" w:hAnsi="微软雅黑" w:eastAsia="微软雅黑"/>
                <w:sz w:val="24"/>
                <w:szCs w:val="24"/>
              </w:rPr>
              <w:tab/>
            </w:r>
            <w:r>
              <w:rPr>
                <w:rFonts w:hint="eastAsia" w:ascii="微软雅黑" w:hAnsi="微软雅黑" w:eastAsia="微软雅黑"/>
                <w:sz w:val="24"/>
                <w:szCs w:val="24"/>
              </w:rPr>
              <w:t xml:space="preserve">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提交报告时间</w:t>
            </w:r>
            <w:r>
              <w:rPr>
                <w:rFonts w:hint="eastAsia" w:ascii="微软雅黑" w:hAnsi="微软雅黑" w:eastAsia="微软雅黑"/>
                <w:sz w:val="24"/>
                <w:szCs w:val="24"/>
              </w:rPr>
              <w:tab/>
            </w:r>
            <w:r>
              <w:rPr>
                <w:rFonts w:hint="eastAsia" w:ascii="微软雅黑" w:hAnsi="微软雅黑" w:eastAsia="微软雅黑"/>
                <w:sz w:val="24"/>
                <w:szCs w:val="24"/>
              </w:rPr>
              <w:t xml:space="preserve">一月一报    </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C级服务级别</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故障响应时间</w:t>
            </w:r>
            <w:r>
              <w:rPr>
                <w:rFonts w:hint="eastAsia" w:ascii="微软雅黑" w:hAnsi="微软雅黑" w:eastAsia="微软雅黑"/>
                <w:sz w:val="24"/>
                <w:szCs w:val="24"/>
              </w:rPr>
              <w:tab/>
            </w:r>
            <w:r>
              <w:rPr>
                <w:rFonts w:hint="eastAsia" w:ascii="微软雅黑" w:hAnsi="微软雅黑" w:eastAsia="微软雅黑"/>
                <w:sz w:val="24"/>
                <w:szCs w:val="24"/>
              </w:rPr>
              <w:t xml:space="preserve"> 30分钟</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故障恢复时间</w:t>
            </w:r>
            <w:r>
              <w:rPr>
                <w:rFonts w:hint="eastAsia" w:ascii="微软雅黑" w:hAnsi="微软雅黑" w:eastAsia="微软雅黑"/>
                <w:sz w:val="24"/>
                <w:szCs w:val="24"/>
              </w:rPr>
              <w:tab/>
            </w:r>
            <w:r>
              <w:rPr>
                <w:rFonts w:hint="eastAsia" w:ascii="微软雅黑" w:hAnsi="微软雅黑" w:eastAsia="微软雅黑"/>
                <w:sz w:val="24"/>
                <w:szCs w:val="24"/>
              </w:rPr>
              <w:t xml:space="preserve"> 2小时</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备件支持响应</w:t>
            </w:r>
            <w:r>
              <w:rPr>
                <w:rFonts w:hint="eastAsia" w:ascii="微软雅黑" w:hAnsi="微软雅黑" w:eastAsia="微软雅黑"/>
                <w:sz w:val="24"/>
                <w:szCs w:val="24"/>
              </w:rPr>
              <w:tab/>
            </w:r>
            <w:r>
              <w:rPr>
                <w:rFonts w:hint="eastAsia" w:ascii="微软雅黑" w:hAnsi="微软雅黑" w:eastAsia="微软雅黑"/>
                <w:sz w:val="24"/>
                <w:szCs w:val="24"/>
              </w:rPr>
              <w:t xml:space="preserve"> 5*8*12</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客户满意度</w:t>
            </w:r>
            <w:r>
              <w:rPr>
                <w:rFonts w:hint="eastAsia" w:ascii="微软雅黑" w:hAnsi="微软雅黑" w:eastAsia="微软雅黑"/>
                <w:sz w:val="24"/>
                <w:szCs w:val="24"/>
              </w:rPr>
              <w:tab/>
            </w:r>
            <w:r>
              <w:rPr>
                <w:rFonts w:hint="eastAsia" w:ascii="微软雅黑" w:hAnsi="微软雅黑" w:eastAsia="微软雅黑"/>
                <w:sz w:val="24"/>
                <w:szCs w:val="24"/>
              </w:rPr>
              <w:t xml:space="preserve">     ≥90%</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提交报告时间   一季一报</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D级服务级别</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故障响应时间</w:t>
            </w:r>
            <w:r>
              <w:rPr>
                <w:rFonts w:hint="eastAsia" w:ascii="微软雅黑" w:hAnsi="微软雅黑" w:eastAsia="微软雅黑"/>
                <w:sz w:val="24"/>
                <w:szCs w:val="24"/>
              </w:rPr>
              <w:tab/>
            </w:r>
            <w:r>
              <w:rPr>
                <w:rFonts w:hint="eastAsia" w:ascii="微软雅黑" w:hAnsi="微软雅黑" w:eastAsia="微软雅黑"/>
                <w:sz w:val="24"/>
                <w:szCs w:val="24"/>
              </w:rPr>
              <w:t xml:space="preserve"> 60分钟</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故障恢复时间</w:t>
            </w:r>
            <w:r>
              <w:rPr>
                <w:rFonts w:hint="eastAsia" w:ascii="微软雅黑" w:hAnsi="微软雅黑" w:eastAsia="微软雅黑"/>
                <w:sz w:val="24"/>
                <w:szCs w:val="24"/>
              </w:rPr>
              <w:tab/>
            </w:r>
            <w:r>
              <w:rPr>
                <w:rFonts w:hint="eastAsia" w:ascii="微软雅黑" w:hAnsi="微软雅黑" w:eastAsia="微软雅黑"/>
                <w:sz w:val="24"/>
                <w:szCs w:val="24"/>
              </w:rPr>
              <w:t xml:space="preserve"> 6小时</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备件支持响应</w:t>
            </w:r>
            <w:r>
              <w:rPr>
                <w:rFonts w:hint="eastAsia" w:ascii="微软雅黑" w:hAnsi="微软雅黑" w:eastAsia="微软雅黑"/>
                <w:sz w:val="24"/>
                <w:szCs w:val="24"/>
              </w:rPr>
              <w:tab/>
            </w:r>
            <w:r>
              <w:rPr>
                <w:rFonts w:hint="eastAsia" w:ascii="微软雅黑" w:hAnsi="微软雅黑" w:eastAsia="微软雅黑"/>
                <w:sz w:val="24"/>
                <w:szCs w:val="24"/>
              </w:rPr>
              <w:t xml:space="preserve"> 5*8*12</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客户满意度</w:t>
            </w:r>
            <w:r>
              <w:rPr>
                <w:rFonts w:hint="eastAsia" w:ascii="微软雅黑" w:hAnsi="微软雅黑" w:eastAsia="微软雅黑"/>
                <w:sz w:val="24"/>
                <w:szCs w:val="24"/>
              </w:rPr>
              <w:tab/>
            </w:r>
            <w:r>
              <w:rPr>
                <w:rFonts w:hint="eastAsia" w:ascii="微软雅黑" w:hAnsi="微软雅黑" w:eastAsia="微软雅黑"/>
                <w:sz w:val="24"/>
                <w:szCs w:val="24"/>
              </w:rPr>
              <w:t xml:space="preserve">     ≥90%</w:t>
            </w:r>
          </w:p>
          <w:p>
            <w:pPr>
              <w:pStyle w:val="22"/>
              <w:ind w:firstLine="470" w:firstLineChars="196"/>
              <w:rPr>
                <w:rFonts w:ascii="微软雅黑" w:hAnsi="微软雅黑" w:eastAsia="微软雅黑"/>
                <w:sz w:val="24"/>
                <w:szCs w:val="24"/>
              </w:rPr>
            </w:pPr>
            <w:r>
              <w:rPr>
                <w:rFonts w:hint="eastAsia" w:ascii="微软雅黑" w:hAnsi="微软雅黑" w:eastAsia="微软雅黑"/>
                <w:sz w:val="24"/>
                <w:szCs w:val="24"/>
              </w:rPr>
              <w:t>提交报告时间   一季一报</w:t>
            </w:r>
          </w:p>
          <w:p>
            <w:pPr>
              <w:pStyle w:val="22"/>
              <w:ind w:firstLine="470" w:firstLineChars="196"/>
              <w:rPr>
                <w:rFonts w:ascii="微软雅黑" w:hAnsi="微软雅黑" w:eastAsia="微软雅黑"/>
                <w:sz w:val="24"/>
                <w:szCs w:val="24"/>
              </w:rPr>
            </w:pP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（二）服务方式</w:t>
            </w:r>
          </w:p>
          <w:p>
            <w:pPr>
              <w:spacing w:line="360" w:lineRule="auto"/>
              <w:ind w:firstLine="460" w:firstLineChars="192"/>
              <w:rPr>
                <w:rFonts w:ascii="微软雅黑" w:hAnsi="微软雅黑" w:eastAsia="微软雅黑"/>
                <w:b/>
                <w:sz w:val="24"/>
              </w:rPr>
            </w:pPr>
            <w:r>
              <w:rPr>
                <w:rFonts w:hint="eastAsia" w:ascii="微软雅黑" w:hAnsi="微软雅黑" w:eastAsia="微软雅黑"/>
                <w:b/>
                <w:sz w:val="24"/>
              </w:rPr>
              <w:t>1）热线电话</w:t>
            </w:r>
          </w:p>
          <w:p>
            <w:pPr>
              <w:spacing w:line="360" w:lineRule="auto"/>
              <w:ind w:firstLine="460" w:firstLineChars="192"/>
              <w:rPr>
                <w:rFonts w:ascii="微软雅黑" w:hAnsi="微软雅黑" w:eastAsia="微软雅黑"/>
                <w:sz w:val="24"/>
              </w:rPr>
            </w:pPr>
            <w:r>
              <w:rPr>
                <w:rFonts w:hint="eastAsia" w:ascii="微软雅黑" w:hAnsi="微软雅黑" w:eastAsia="微软雅黑"/>
                <w:sz w:val="24"/>
              </w:rPr>
              <w:t>提供一个运维服务专线电话。</w:t>
            </w:r>
          </w:p>
          <w:p>
            <w:pPr>
              <w:spacing w:line="360" w:lineRule="auto"/>
              <w:ind w:firstLine="460" w:firstLineChars="192"/>
              <w:rPr>
                <w:rFonts w:ascii="微软雅黑" w:hAnsi="微软雅黑" w:eastAsia="微软雅黑"/>
                <w:b/>
                <w:sz w:val="24"/>
              </w:rPr>
            </w:pPr>
            <w:r>
              <w:rPr>
                <w:rFonts w:hint="eastAsia" w:ascii="微软雅黑" w:hAnsi="微软雅黑" w:eastAsia="微软雅黑"/>
                <w:b/>
                <w:sz w:val="24"/>
              </w:rPr>
              <w:t>2）现场服务</w:t>
            </w:r>
          </w:p>
          <w:p>
            <w:pPr>
              <w:spacing w:line="360" w:lineRule="auto"/>
              <w:ind w:firstLine="460" w:firstLineChars="192"/>
              <w:rPr>
                <w:rFonts w:ascii="微软雅黑" w:hAnsi="微软雅黑" w:eastAsia="微软雅黑"/>
                <w:sz w:val="24"/>
              </w:rPr>
            </w:pPr>
            <w:r>
              <w:rPr>
                <w:rFonts w:hint="eastAsia" w:ascii="微软雅黑" w:hAnsi="微软雅黑" w:eastAsia="微软雅黑"/>
                <w:sz w:val="24"/>
              </w:rPr>
              <w:t>提供5*8小时（星期一 -- 星期五，每天8小时）以及紧急情况的现场服务，并提供对所有技术支持、服务请求、故障报修、技术咨询的单点专员联系，同时加强系统的监控、巡检及管理。对所有问题的记录、分派、跟踪和管理、分析和报告。</w:t>
            </w:r>
          </w:p>
          <w:p>
            <w:pPr>
              <w:spacing w:line="360" w:lineRule="auto"/>
              <w:ind w:firstLine="460" w:firstLineChars="192"/>
              <w:rPr>
                <w:rFonts w:ascii="微软雅黑" w:hAnsi="微软雅黑" w:eastAsia="微软雅黑"/>
                <w:b/>
                <w:sz w:val="24"/>
              </w:rPr>
            </w:pPr>
            <w:bookmarkStart w:id="8" w:name="_Toc107736082"/>
            <w:bookmarkStart w:id="9" w:name="_Toc47261564"/>
            <w:bookmarkStart w:id="10" w:name="_Toc34137366"/>
            <w:bookmarkStart w:id="11" w:name="_Toc57623564"/>
            <w:bookmarkStart w:id="12" w:name="_Toc202098067"/>
            <w:r>
              <w:rPr>
                <w:rFonts w:hint="eastAsia" w:ascii="微软雅黑" w:hAnsi="微软雅黑" w:eastAsia="微软雅黑"/>
                <w:b/>
                <w:sz w:val="24"/>
              </w:rPr>
              <w:t>3）远程服务</w:t>
            </w:r>
            <w:bookmarkEnd w:id="8"/>
            <w:bookmarkEnd w:id="9"/>
            <w:bookmarkEnd w:id="10"/>
            <w:bookmarkEnd w:id="11"/>
            <w:bookmarkEnd w:id="12"/>
          </w:p>
          <w:p>
            <w:pPr>
              <w:spacing w:line="360" w:lineRule="auto"/>
              <w:ind w:firstLine="460" w:firstLineChars="192"/>
              <w:rPr>
                <w:rFonts w:ascii="微软雅黑" w:hAnsi="微软雅黑" w:eastAsia="微软雅黑"/>
              </w:rPr>
            </w:pPr>
            <w:r>
              <w:rPr>
                <w:rFonts w:hint="eastAsia" w:ascii="微软雅黑" w:hAnsi="微软雅黑" w:eastAsia="微软雅黑"/>
                <w:sz w:val="24"/>
              </w:rPr>
              <w:t>提供7*24小时（星期一 -- 星期日，每天24小时）的远程服务，可以通过专线电话、网上报修、电子邮件得到工程师技术服务。值班工程师可以实时对客户请求进行处理。包括服务请求、远程故障诊断、技术咨询等服务。</w:t>
            </w:r>
            <w:bookmarkStart w:id="13" w:name="_Toc386026010"/>
            <w:bookmarkStart w:id="14" w:name="_Toc272065903"/>
          </w:p>
          <w:bookmarkEnd w:id="13"/>
          <w:bookmarkEnd w:id="14"/>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3.工程师技术支持服务</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要求至少提供1名普通工程师；</w:t>
            </w:r>
            <w:r>
              <w:rPr>
                <w:rFonts w:hint="eastAsia" w:ascii="微软雅黑" w:hAnsi="微软雅黑" w:eastAsia="微软雅黑" w:cs="仿宋_GB2312"/>
                <w:kern w:val="0"/>
                <w:sz w:val="24"/>
              </w:rPr>
              <w:t>接障后技术支持人员必须在相应时间内作出响应，详细记录故障现象。</w:t>
            </w: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（三）项目整体设计，组织及实施方案的总体把关</w:t>
            </w:r>
          </w:p>
          <w:p>
            <w:pPr>
              <w:pStyle w:val="22"/>
              <w:ind w:firstLine="480"/>
              <w:jc w:val="left"/>
              <w:rPr>
                <w:rFonts w:ascii="微软雅黑" w:hAnsi="微软雅黑" w:eastAsia="微软雅黑"/>
                <w:sz w:val="24"/>
                <w:szCs w:val="24"/>
              </w:rPr>
            </w:pPr>
            <w:r>
              <w:rPr>
                <w:rFonts w:hint="eastAsia" w:ascii="微软雅黑" w:hAnsi="微软雅黑" w:eastAsia="微软雅黑"/>
                <w:sz w:val="24"/>
                <w:szCs w:val="24"/>
              </w:rPr>
              <w:t>由项目采购人负责该项目的具体实施和把关。</w:t>
            </w: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（四）质量控制</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实行三级质量控制，第一级由投标人对运维质量进行控制，确保工程师严格按照相关运维标准和要求对合同范围内的信息系统进行运维保障，同时确保技术支持服务到位，定期考核运维绩效；第二级由采购人的具体负责部门对投标人提供的服务定期进行绩效评定，做好运维服务的协调和管理工作；第三级由采购人单位对投标人进行质量控制，把服务绩效与合同支付条件互相挂钩，同时预留质量保证金，在合同完成后邀请第三方进行符合性验收，验收通过并提交工信委备案后再支付质保金，促使投标人提供优良的运维服务。</w:t>
            </w:r>
          </w:p>
          <w:p>
            <w:pPr>
              <w:pStyle w:val="22"/>
              <w:ind w:firstLine="120" w:firstLineChars="50"/>
              <w:jc w:val="left"/>
              <w:rPr>
                <w:rFonts w:ascii="微软雅黑" w:hAnsi="微软雅黑" w:eastAsia="微软雅黑"/>
                <w:b/>
                <w:sz w:val="24"/>
                <w:szCs w:val="24"/>
              </w:rPr>
            </w:pPr>
            <w:r>
              <w:rPr>
                <w:rFonts w:hint="eastAsia" w:ascii="微软雅黑" w:hAnsi="微软雅黑" w:eastAsia="微软雅黑"/>
                <w:b/>
                <w:sz w:val="24"/>
                <w:szCs w:val="24"/>
              </w:rPr>
              <w:t>(五) 进度控制</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为信息系统日常性维护性项目，进度控制主要针对日常性运维服务进度、一次性服务工作进度、原厂服务合同签订和执行进度等，具体控制方式可参考“质量控制”，也分为三级控制，与绩效考核及合同支付相互挂钩。</w:t>
            </w:r>
          </w:p>
          <w:p>
            <w:pPr>
              <w:pStyle w:val="22"/>
              <w:ind w:firstLine="120" w:firstLineChars="50"/>
              <w:jc w:val="left"/>
              <w:rPr>
                <w:rFonts w:ascii="微软雅黑" w:hAnsi="微软雅黑" w:eastAsia="微软雅黑"/>
                <w:b/>
                <w:sz w:val="24"/>
                <w:szCs w:val="24"/>
              </w:rPr>
            </w:pPr>
            <w:r>
              <w:rPr>
                <w:rFonts w:hint="eastAsia" w:ascii="微软雅黑" w:hAnsi="微软雅黑" w:eastAsia="微软雅黑"/>
                <w:b/>
                <w:sz w:val="24"/>
                <w:szCs w:val="24"/>
              </w:rPr>
              <w:t>(六)合同管理</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本项目所签订合同按广州市政府采购合同模板拟订，一式六份，由双方共同管理，各份合同必须一致并签名盖公章，具有同等效力。</w:t>
            </w:r>
          </w:p>
          <w:p>
            <w:pPr>
              <w:pStyle w:val="22"/>
              <w:ind w:firstLine="120" w:firstLineChars="50"/>
              <w:jc w:val="left"/>
              <w:rPr>
                <w:rFonts w:ascii="微软雅黑" w:hAnsi="微软雅黑" w:eastAsia="微软雅黑"/>
                <w:b/>
                <w:sz w:val="24"/>
                <w:szCs w:val="24"/>
              </w:rPr>
            </w:pPr>
            <w:r>
              <w:rPr>
                <w:rFonts w:hint="eastAsia" w:ascii="微软雅黑" w:hAnsi="微软雅黑" w:eastAsia="微软雅黑"/>
                <w:b/>
                <w:sz w:val="24"/>
                <w:szCs w:val="24"/>
              </w:rPr>
              <w:t>(七)项目信息管理</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本项目信息按照项目具体建设方案以及招标文件所定,投标人对项目信息具有保密义务，驻场人员需要签订保密协议，未经采购人允许不能随意拷贝或传播项目信息，如造成严重后果需要追求其责任。</w:t>
            </w:r>
          </w:p>
          <w:p>
            <w:pPr>
              <w:pStyle w:val="22"/>
              <w:ind w:firstLine="120" w:firstLineChars="50"/>
              <w:jc w:val="left"/>
              <w:rPr>
                <w:rFonts w:ascii="微软雅黑" w:hAnsi="微软雅黑" w:eastAsia="微软雅黑"/>
                <w:b/>
                <w:sz w:val="24"/>
                <w:szCs w:val="24"/>
              </w:rPr>
            </w:pPr>
            <w:r>
              <w:rPr>
                <w:rFonts w:hint="eastAsia" w:ascii="微软雅黑" w:hAnsi="微软雅黑" w:eastAsia="微软雅黑"/>
                <w:b/>
                <w:sz w:val="24"/>
                <w:szCs w:val="24"/>
              </w:rPr>
              <w:t>(八) 项目文件的管理</w:t>
            </w:r>
          </w:p>
          <w:p>
            <w:pPr>
              <w:pStyle w:val="14"/>
              <w:spacing w:line="360" w:lineRule="auto"/>
              <w:ind w:firstLine="480" w:firstLineChars="200"/>
              <w:rPr>
                <w:rFonts w:ascii="微软雅黑" w:hAnsi="微软雅黑" w:eastAsia="微软雅黑"/>
                <w:sz w:val="24"/>
              </w:rPr>
            </w:pPr>
            <w:r>
              <w:rPr>
                <w:rFonts w:hint="eastAsia" w:ascii="微软雅黑" w:hAnsi="微软雅黑" w:eastAsia="微软雅黑"/>
                <w:sz w:val="24"/>
              </w:rPr>
              <w:t>本项目的文件分为一般性文件，过程文件和验收文件，所有项目文件必须真实有效，部分文件需要留存纸质版本并由采购人归档保管，留存查验和审计。</w:t>
            </w: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（九）项目安全的管理</w:t>
            </w:r>
          </w:p>
          <w:p>
            <w:pPr>
              <w:pStyle w:val="22"/>
              <w:ind w:firstLine="552" w:firstLineChars="230"/>
              <w:jc w:val="left"/>
              <w:rPr>
                <w:rFonts w:ascii="微软雅黑" w:hAnsi="微软雅黑" w:eastAsia="微软雅黑"/>
                <w:sz w:val="24"/>
                <w:szCs w:val="24"/>
              </w:rPr>
            </w:pPr>
            <w:r>
              <w:rPr>
                <w:rFonts w:hint="eastAsia" w:ascii="微软雅黑" w:hAnsi="微软雅黑" w:eastAsia="微软雅黑"/>
                <w:sz w:val="24"/>
                <w:szCs w:val="24"/>
              </w:rPr>
              <w:t>本项目安全分为合同执行安全、工程师安全和运维安全，项目安全管理由双方共同负责。</w:t>
            </w:r>
          </w:p>
          <w:p>
            <w:pPr>
              <w:pStyle w:val="22"/>
              <w:ind w:firstLine="0" w:firstLineChars="0"/>
              <w:jc w:val="left"/>
              <w:rPr>
                <w:rFonts w:ascii="微软雅黑" w:hAnsi="微软雅黑" w:eastAsia="微软雅黑"/>
                <w:b/>
                <w:sz w:val="24"/>
                <w:szCs w:val="24"/>
              </w:rPr>
            </w:pPr>
            <w:r>
              <w:rPr>
                <w:rFonts w:hint="eastAsia" w:ascii="微软雅黑" w:hAnsi="微软雅黑" w:eastAsia="微软雅黑"/>
                <w:b/>
                <w:sz w:val="24"/>
                <w:szCs w:val="24"/>
              </w:rPr>
              <w:t>（十）知识产权的管理</w:t>
            </w:r>
          </w:p>
          <w:p>
            <w:pPr>
              <w:pStyle w:val="22"/>
              <w:ind w:firstLine="480"/>
              <w:jc w:val="left"/>
              <w:rPr>
                <w:rFonts w:ascii="微软雅黑" w:hAnsi="微软雅黑" w:eastAsia="微软雅黑"/>
                <w:sz w:val="24"/>
                <w:szCs w:val="24"/>
              </w:rPr>
            </w:pPr>
            <w:r>
              <w:rPr>
                <w:rFonts w:hint="eastAsia" w:ascii="微软雅黑" w:hAnsi="微软雅黑" w:eastAsia="微软雅黑"/>
                <w:sz w:val="24"/>
                <w:szCs w:val="24"/>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pStyle w:val="22"/>
              <w:ind w:firstLine="480"/>
              <w:jc w:val="left"/>
              <w:rPr>
                <w:rFonts w:ascii="微软雅黑" w:hAnsi="微软雅黑" w:eastAsia="微软雅黑"/>
                <w:sz w:val="24"/>
                <w:szCs w:val="24"/>
              </w:rPr>
            </w:pPr>
            <w:r>
              <w:rPr>
                <w:rFonts w:hint="eastAsia" w:ascii="微软雅黑" w:hAnsi="微软雅黑" w:eastAsia="微软雅黑"/>
                <w:sz w:val="24"/>
                <w:szCs w:val="24"/>
              </w:rPr>
              <w:t>2.投标报价应包含所有应向所有权人支付的专利权、商标权或其它知识产权的一切相关费用。</w:t>
            </w:r>
          </w:p>
          <w:p>
            <w:pPr>
              <w:pStyle w:val="22"/>
              <w:ind w:firstLine="0" w:firstLineChars="0"/>
              <w:jc w:val="left"/>
              <w:rPr>
                <w:rFonts w:ascii="微软雅黑" w:hAnsi="微软雅黑" w:eastAsia="微软雅黑"/>
                <w:sz w:val="24"/>
                <w:szCs w:val="24"/>
              </w:rPr>
            </w:pPr>
            <w:r>
              <w:rPr>
                <w:rFonts w:hint="eastAsia" w:ascii="微软雅黑" w:hAnsi="微软雅黑" w:eastAsia="微软雅黑"/>
                <w:sz w:val="24"/>
                <w:szCs w:val="24"/>
              </w:rPr>
              <w:t xml:space="preserve">    3.系统软件、通用软件必须是具有在中国境内的合法使用权或版权的正版软件，涉及到第三方提出侵权或知识产权的起诉及支付版税等费用由投标人承担所有责任及费用。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对运维单位的要求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outlineLvl w:val="1"/>
              <w:rPr>
                <w:rFonts w:ascii="微软雅黑" w:hAnsi="微软雅黑" w:eastAsia="微软雅黑"/>
                <w:b/>
                <w:sz w:val="24"/>
              </w:rPr>
            </w:pPr>
            <w:r>
              <w:rPr>
                <w:rFonts w:hint="eastAsia" w:ascii="微软雅黑" w:hAnsi="微软雅黑" w:eastAsia="微软雅黑"/>
                <w:b/>
                <w:sz w:val="24"/>
              </w:rPr>
              <w:t>（一）对运维机构的管理架构要求</w:t>
            </w:r>
          </w:p>
          <w:p>
            <w:pPr>
              <w:spacing w:line="360" w:lineRule="auto"/>
              <w:ind w:right="-53" w:firstLine="430"/>
              <w:rPr>
                <w:rFonts w:ascii="微软雅黑" w:hAnsi="微软雅黑" w:eastAsia="微软雅黑"/>
                <w:sz w:val="24"/>
              </w:rPr>
            </w:pPr>
            <w:r>
              <w:rPr>
                <w:rFonts w:hint="eastAsia" w:ascii="微软雅黑" w:hAnsi="微软雅黑" w:eastAsia="微软雅黑"/>
                <w:sz w:val="24"/>
              </w:rPr>
              <w:t>运维机构管理架构需要由1名中级工程师和1名</w:t>
            </w:r>
            <w:r>
              <w:rPr>
                <w:rFonts w:hint="eastAsia" w:ascii="微软雅黑" w:hAnsi="微软雅黑" w:eastAsia="微软雅黑" w:cs="仿宋_GB2312"/>
                <w:kern w:val="0"/>
                <w:sz w:val="24"/>
              </w:rPr>
              <w:t>普通工程师（包括日常支持和重大活动技术支持）及</w:t>
            </w:r>
            <w:r>
              <w:rPr>
                <w:rFonts w:hint="eastAsia" w:ascii="微软雅黑" w:hAnsi="微软雅黑" w:eastAsia="微软雅黑"/>
                <w:sz w:val="24"/>
              </w:rPr>
              <w:t>服务质量管理监控组组成。采购人有权对运维人员进行为期1~2周的考核，如考核不通过，运维单位必须无条件更换运维人员。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outlineLvl w:val="1"/>
              <w:rPr>
                <w:rFonts w:ascii="微软雅黑" w:hAnsi="微软雅黑" w:eastAsia="微软雅黑"/>
                <w:sz w:val="24"/>
              </w:rPr>
            </w:pPr>
            <w:r>
              <w:rPr>
                <w:rFonts w:hint="eastAsia" w:ascii="微软雅黑" w:hAnsi="微软雅黑" w:eastAsia="微软雅黑"/>
                <w:sz w:val="24"/>
              </w:rPr>
              <w:t>（二）对运维单位的人员要求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6" w:type="dxa"/>
            <w:gridSpan w:val="2"/>
          </w:tcPr>
          <w:p>
            <w:pPr>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人员类别</w:t>
            </w:r>
          </w:p>
        </w:tc>
        <w:tc>
          <w:tcPr>
            <w:tcW w:w="978" w:type="dxa"/>
          </w:tcPr>
          <w:p>
            <w:pPr>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数量</w:t>
            </w:r>
          </w:p>
        </w:tc>
        <w:tc>
          <w:tcPr>
            <w:tcW w:w="5103" w:type="dxa"/>
            <w:gridSpan w:val="2"/>
          </w:tcPr>
          <w:p>
            <w:pPr>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人员要求</w:t>
            </w:r>
          </w:p>
        </w:tc>
        <w:tc>
          <w:tcPr>
            <w:tcW w:w="2021" w:type="dxa"/>
          </w:tcPr>
          <w:p>
            <w:pPr>
              <w:spacing w:line="360" w:lineRule="auto"/>
              <w:ind w:right="-53"/>
              <w:jc w:val="center"/>
              <w:rPr>
                <w:rFonts w:ascii="微软雅黑" w:hAnsi="微软雅黑" w:eastAsia="微软雅黑" w:cs="Arial"/>
                <w:sz w:val="24"/>
              </w:rPr>
            </w:pPr>
            <w:r>
              <w:rPr>
                <w:rFonts w:hint="eastAsia" w:ascii="仿宋_GB2312" w:hAnsi="宋体" w:eastAsia="仿宋_GB2312" w:cs="宋体"/>
                <w:kern w:val="0"/>
                <w:sz w:val="24"/>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6" w:type="dxa"/>
            <w:gridSpan w:val="2"/>
          </w:tcPr>
          <w:p>
            <w:pPr>
              <w:tabs>
                <w:tab w:val="center" w:pos="655"/>
              </w:tabs>
              <w:spacing w:line="360" w:lineRule="auto"/>
              <w:ind w:right="-53"/>
              <w:jc w:val="center"/>
              <w:rPr>
                <w:rFonts w:ascii="微软雅黑" w:hAnsi="微软雅黑" w:eastAsia="微软雅黑" w:cs="Arial"/>
                <w:sz w:val="24"/>
              </w:rPr>
            </w:pPr>
          </w:p>
          <w:p>
            <w:pPr>
              <w:tabs>
                <w:tab w:val="center" w:pos="655"/>
              </w:tabs>
              <w:spacing w:line="360" w:lineRule="auto"/>
              <w:ind w:right="-53"/>
              <w:jc w:val="center"/>
              <w:rPr>
                <w:rFonts w:ascii="微软雅黑" w:hAnsi="微软雅黑" w:eastAsia="微软雅黑" w:cs="Arial"/>
                <w:sz w:val="24"/>
              </w:rPr>
            </w:pPr>
          </w:p>
          <w:p>
            <w:pPr>
              <w:tabs>
                <w:tab w:val="center" w:pos="655"/>
              </w:tabs>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中级工程师</w:t>
            </w:r>
          </w:p>
        </w:tc>
        <w:tc>
          <w:tcPr>
            <w:tcW w:w="978" w:type="dxa"/>
          </w:tcPr>
          <w:p>
            <w:pPr>
              <w:spacing w:line="360" w:lineRule="auto"/>
              <w:ind w:right="-53"/>
              <w:jc w:val="center"/>
              <w:rPr>
                <w:rFonts w:ascii="微软雅黑" w:hAnsi="微软雅黑" w:eastAsia="微软雅黑" w:cs="Arial"/>
                <w:sz w:val="24"/>
              </w:rPr>
            </w:pPr>
            <w:r>
              <w:rPr>
                <w:rFonts w:hint="eastAsia" w:ascii="微软雅黑" w:hAnsi="微软雅黑" w:eastAsia="微软雅黑" w:cs="Arial"/>
                <w:sz w:val="24"/>
              </w:rPr>
              <w:t>1</w:t>
            </w:r>
          </w:p>
        </w:tc>
        <w:tc>
          <w:tcPr>
            <w:tcW w:w="5103" w:type="dxa"/>
            <w:gridSpan w:val="2"/>
          </w:tcPr>
          <w:p>
            <w:pPr>
              <w:pStyle w:val="17"/>
              <w:spacing w:line="360" w:lineRule="auto"/>
              <w:ind w:firstLine="420" w:firstLineChars="200"/>
            </w:pPr>
            <w:r>
              <w:rPr>
                <w:rFonts w:hint="eastAsia"/>
              </w:rPr>
              <w:t>在本岗位上至少有五年以上工作经验，大专以上学历，计算机相关专业。熟悉PC技术原理和整体架构、常用操作系统及软件，具有一定的网络维护服务能力，具有一定服务器维护服务能力，具有网络工程师、CCNP、HCIP同等或以上证书。</w:t>
            </w:r>
          </w:p>
        </w:tc>
        <w:tc>
          <w:tcPr>
            <w:tcW w:w="2021" w:type="dxa"/>
          </w:tcPr>
          <w:p>
            <w:pPr>
              <w:spacing w:line="360" w:lineRule="auto"/>
              <w:ind w:right="-53"/>
              <w:rPr>
                <w:rFonts w:ascii="微软雅黑" w:hAnsi="微软雅黑" w:cs="Arial"/>
                <w:sz w:val="24"/>
              </w:rPr>
            </w:pPr>
            <w:r>
              <w:rPr>
                <w:rFonts w:hint="eastAsia" w:ascii="Calibri" w:hAnsi="Calibri"/>
                <w:szCs w:val="22"/>
              </w:rPr>
              <w:t>市规划和自然资源局花都区分局办公大楼、各规划和自然资源所、局驻政务大厅的办事处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6" w:type="dxa"/>
            <w:gridSpan w:val="2"/>
            <w:vAlign w:val="center"/>
          </w:tcPr>
          <w:p>
            <w:pPr>
              <w:spacing w:line="360" w:lineRule="auto"/>
              <w:ind w:right="-53"/>
              <w:jc w:val="center"/>
              <w:rPr>
                <w:rFonts w:ascii="微软雅黑" w:hAnsi="微软雅黑" w:eastAsia="微软雅黑"/>
                <w:sz w:val="24"/>
              </w:rPr>
            </w:pPr>
            <w:r>
              <w:rPr>
                <w:rFonts w:hint="eastAsia" w:ascii="微软雅黑" w:hAnsi="微软雅黑" w:eastAsia="微软雅黑"/>
                <w:sz w:val="24"/>
              </w:rPr>
              <w:t>普通工程师</w:t>
            </w:r>
          </w:p>
        </w:tc>
        <w:tc>
          <w:tcPr>
            <w:tcW w:w="978" w:type="dxa"/>
            <w:vAlign w:val="center"/>
          </w:tcPr>
          <w:p>
            <w:pPr>
              <w:spacing w:line="360" w:lineRule="auto"/>
              <w:ind w:right="-53"/>
              <w:jc w:val="center"/>
              <w:rPr>
                <w:rFonts w:ascii="微软雅黑" w:hAnsi="微软雅黑" w:eastAsia="微软雅黑"/>
                <w:sz w:val="24"/>
              </w:rPr>
            </w:pPr>
            <w:r>
              <w:rPr>
                <w:rFonts w:hint="eastAsia" w:ascii="微软雅黑" w:hAnsi="微软雅黑" w:eastAsia="微软雅黑"/>
                <w:sz w:val="24"/>
              </w:rPr>
              <w:t>1</w:t>
            </w:r>
          </w:p>
        </w:tc>
        <w:tc>
          <w:tcPr>
            <w:tcW w:w="5103" w:type="dxa"/>
            <w:gridSpan w:val="2"/>
            <w:vAlign w:val="center"/>
          </w:tcPr>
          <w:p>
            <w:pPr>
              <w:spacing w:line="360" w:lineRule="auto"/>
              <w:ind w:right="-53" w:firstLine="430"/>
              <w:rPr>
                <w:rFonts w:ascii="微软雅黑" w:hAnsi="微软雅黑" w:eastAsia="微软雅黑"/>
                <w:sz w:val="24"/>
              </w:rPr>
            </w:pPr>
            <w:r>
              <w:rPr>
                <w:rFonts w:hint="eastAsia"/>
              </w:rPr>
              <w:t>在本岗位上至少有三年以上工作经验，大专以上学历，计算机相关专业。熟悉PC技术原理和整体架构、常用操作系统及软件，具有一定的网络维护服务能力，提供相应的资质证明。</w:t>
            </w:r>
          </w:p>
        </w:tc>
        <w:tc>
          <w:tcPr>
            <w:tcW w:w="2021" w:type="dxa"/>
            <w:vAlign w:val="center"/>
          </w:tcPr>
          <w:p>
            <w:pPr>
              <w:spacing w:line="360" w:lineRule="auto"/>
              <w:ind w:right="-53"/>
              <w:rPr>
                <w:rFonts w:ascii="微软雅黑" w:hAnsi="微软雅黑" w:eastAsia="微软雅黑"/>
                <w:sz w:val="24"/>
              </w:rPr>
            </w:pPr>
            <w:r>
              <w:rPr>
                <w:rFonts w:hint="eastAsia" w:ascii="Calibri" w:hAnsi="Calibri"/>
                <w:szCs w:val="22"/>
              </w:rPr>
              <w:t>市规划和自然资源局花都区分局办公大楼、各规划和自然资源所、局驻政务大厅的办事处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numPr>
                <w:ilvl w:val="0"/>
                <w:numId w:val="7"/>
              </w:numPr>
              <w:spacing w:line="360" w:lineRule="auto"/>
              <w:outlineLvl w:val="1"/>
              <w:rPr>
                <w:rFonts w:ascii="微软雅黑" w:hAnsi="微软雅黑" w:eastAsia="微软雅黑"/>
                <w:sz w:val="24"/>
              </w:rPr>
            </w:pPr>
            <w:r>
              <w:rPr>
                <w:rFonts w:hint="eastAsia" w:ascii="微软雅黑" w:hAnsi="微软雅黑" w:eastAsia="微软雅黑"/>
                <w:sz w:val="24"/>
              </w:rPr>
              <w:t>对运维单位的设备投入要求</w:t>
            </w:r>
          </w:p>
          <w:p>
            <w:pPr>
              <w:spacing w:line="360" w:lineRule="auto"/>
              <w:ind w:right="-53" w:firstLine="430"/>
              <w:rPr>
                <w:rFonts w:ascii="微软雅黑" w:hAnsi="微软雅黑" w:eastAsia="微软雅黑"/>
                <w:sz w:val="24"/>
              </w:rPr>
            </w:pPr>
            <w:r>
              <w:rPr>
                <w:rFonts w:hint="eastAsia" w:ascii="微软雅黑" w:hAnsi="微软雅黑" w:eastAsia="微软雅黑"/>
                <w:sz w:val="24"/>
              </w:rPr>
              <w:t>按照招标内容和运维需求，运维单位需要提供相对应的相关运维工具设备，如工程师日常使用笔记本电脑、常用检测工具、信息设备配件备件等。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cs="宋体"/>
                <w:sz w:val="24"/>
              </w:rPr>
            </w:pPr>
            <w:bookmarkStart w:id="15" w:name="_Toc405900443"/>
            <w:r>
              <w:rPr>
                <w:rFonts w:hint="eastAsia" w:ascii="微软雅黑" w:hAnsi="微软雅黑" w:eastAsia="微软雅黑" w:cs="宋体"/>
                <w:sz w:val="24"/>
              </w:rPr>
              <w:t>服务响应要求</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pStyle w:val="3"/>
              <w:numPr>
                <w:ilvl w:val="0"/>
                <w:numId w:val="8"/>
              </w:numPr>
              <w:rPr>
                <w:rFonts w:ascii="微软雅黑" w:hAnsi="微软雅黑" w:eastAsia="微软雅黑"/>
                <w:szCs w:val="24"/>
                <w:lang w:val="zh-CN"/>
              </w:rPr>
            </w:pPr>
            <w:r>
              <w:rPr>
                <w:rFonts w:hint="eastAsia" w:ascii="微软雅黑" w:hAnsi="微软雅黑" w:eastAsia="微软雅黑"/>
              </w:rPr>
              <w:t>影响到业务正常开展的故障，</w:t>
            </w:r>
            <w:r>
              <w:rPr>
                <w:rFonts w:hint="eastAsia" w:ascii="微软雅黑" w:hAnsi="微软雅黑" w:eastAsia="微软雅黑" w:cs="Arial"/>
                <w:u w:val="single"/>
              </w:rPr>
              <w:t xml:space="preserve"> 20 </w:t>
            </w:r>
            <w:r>
              <w:rPr>
                <w:rFonts w:hint="eastAsia" w:ascii="微软雅黑" w:hAnsi="微软雅黑" w:eastAsia="微软雅黑"/>
              </w:rPr>
              <w:t>分钟内到达现场，</w:t>
            </w:r>
            <w:r>
              <w:rPr>
                <w:rFonts w:hint="eastAsia" w:ascii="微软雅黑" w:hAnsi="微软雅黑" w:eastAsia="微软雅黑" w:cs="Arial"/>
                <w:u w:val="single"/>
              </w:rPr>
              <w:t xml:space="preserve"> 30 </w:t>
            </w:r>
            <w:r>
              <w:rPr>
                <w:rFonts w:hint="eastAsia" w:ascii="微软雅黑" w:hAnsi="微软雅黑" w:eastAsia="微软雅黑"/>
              </w:rPr>
              <w:t>分钟内报告采购方主管负责人，</w:t>
            </w:r>
            <w:r>
              <w:rPr>
                <w:rFonts w:hint="eastAsia" w:ascii="微软雅黑" w:hAnsi="微软雅黑" w:eastAsia="微软雅黑" w:cs="Arial"/>
                <w:u w:val="single"/>
              </w:rPr>
              <w:t xml:space="preserve"> 1 </w:t>
            </w:r>
            <w:r>
              <w:rPr>
                <w:rFonts w:hint="eastAsia" w:ascii="微软雅黑" w:hAnsi="微软雅黑" w:eastAsia="微软雅黑"/>
              </w:rPr>
              <w:t>小时内安排资源解决。如不能解决，需要二线技术人员提供现场技术支持服务，最迟在</w:t>
            </w:r>
            <w:r>
              <w:rPr>
                <w:rFonts w:hint="eastAsia" w:ascii="微软雅黑" w:hAnsi="微软雅黑" w:eastAsia="微软雅黑" w:cs="Arial"/>
                <w:u w:val="single"/>
              </w:rPr>
              <w:t xml:space="preserve"> 2 </w:t>
            </w:r>
            <w:r>
              <w:rPr>
                <w:rFonts w:hint="eastAsia" w:ascii="微软雅黑" w:hAnsi="微软雅黑" w:eastAsia="微软雅黑"/>
              </w:rPr>
              <w:t>小时内解决问题。在故障解决过程中，保持每</w:t>
            </w:r>
            <w:r>
              <w:rPr>
                <w:rFonts w:hint="eastAsia" w:ascii="微软雅黑" w:hAnsi="微软雅黑" w:eastAsia="微软雅黑" w:cs="Arial"/>
                <w:u w:val="single"/>
              </w:rPr>
              <w:t xml:space="preserve"> 0.5 </w:t>
            </w:r>
            <w:r>
              <w:rPr>
                <w:rFonts w:hint="eastAsia" w:ascii="微软雅黑" w:hAnsi="微软雅黑" w:eastAsia="微软雅黑"/>
              </w:rPr>
              <w:t>小时内1次与客户进行情况汇报。</w:t>
            </w:r>
          </w:p>
          <w:p>
            <w:pPr>
              <w:pStyle w:val="3"/>
              <w:numPr>
                <w:ilvl w:val="0"/>
                <w:numId w:val="8"/>
              </w:numPr>
              <w:rPr>
                <w:rFonts w:ascii="微软雅黑" w:hAnsi="微软雅黑" w:eastAsia="微软雅黑"/>
                <w:szCs w:val="24"/>
                <w:lang w:val="zh-CN"/>
              </w:rPr>
            </w:pPr>
            <w:r>
              <w:rPr>
                <w:rFonts w:hint="eastAsia" w:ascii="微软雅黑" w:hAnsi="微软雅黑" w:eastAsia="微软雅黑"/>
              </w:rPr>
              <w:t>不影响业务正常开展的故障，</w:t>
            </w:r>
            <w:r>
              <w:rPr>
                <w:rFonts w:hint="eastAsia" w:ascii="微软雅黑" w:hAnsi="微软雅黑" w:eastAsia="微软雅黑" w:cs="Arial"/>
                <w:u w:val="single"/>
              </w:rPr>
              <w:t xml:space="preserve"> 30 </w:t>
            </w:r>
            <w:r>
              <w:rPr>
                <w:rFonts w:hint="eastAsia" w:ascii="微软雅黑" w:hAnsi="微软雅黑" w:eastAsia="微软雅黑"/>
              </w:rPr>
              <w:t>分钟内到达现场，</w:t>
            </w:r>
            <w:r>
              <w:rPr>
                <w:rFonts w:hint="eastAsia" w:ascii="微软雅黑" w:hAnsi="微软雅黑" w:eastAsia="微软雅黑" w:cs="Arial"/>
                <w:u w:val="single"/>
              </w:rPr>
              <w:t xml:space="preserve"> 1 </w:t>
            </w:r>
            <w:r>
              <w:rPr>
                <w:rFonts w:hint="eastAsia" w:ascii="微软雅黑" w:hAnsi="微软雅黑" w:eastAsia="微软雅黑"/>
              </w:rPr>
              <w:t>小时内报告采购方主管负责人，</w:t>
            </w:r>
            <w:r>
              <w:rPr>
                <w:rFonts w:hint="eastAsia" w:ascii="微软雅黑" w:hAnsi="微软雅黑" w:eastAsia="微软雅黑" w:cs="Arial"/>
                <w:u w:val="single"/>
              </w:rPr>
              <w:t xml:space="preserve"> 2 </w:t>
            </w:r>
            <w:r>
              <w:rPr>
                <w:rFonts w:hint="eastAsia" w:ascii="微软雅黑" w:hAnsi="微软雅黑" w:eastAsia="微软雅黑"/>
              </w:rPr>
              <w:t>个工作日内解决。</w:t>
            </w:r>
          </w:p>
          <w:p>
            <w:pPr>
              <w:pStyle w:val="3"/>
              <w:numPr>
                <w:ilvl w:val="0"/>
                <w:numId w:val="8"/>
              </w:numPr>
              <w:rPr>
                <w:rFonts w:ascii="微软雅黑" w:hAnsi="微软雅黑" w:eastAsia="微软雅黑"/>
                <w:szCs w:val="24"/>
                <w:lang w:val="zh-CN"/>
              </w:rPr>
            </w:pPr>
            <w:r>
              <w:rPr>
                <w:rFonts w:hint="eastAsia" w:ascii="微软雅黑" w:hAnsi="微软雅黑" w:eastAsia="微软雅黑" w:cs="Arial"/>
              </w:rPr>
              <w:t>各镇街规划和自然资源所故障,</w:t>
            </w:r>
            <w:r>
              <w:rPr>
                <w:rFonts w:hint="eastAsia" w:ascii="微软雅黑" w:hAnsi="微软雅黑" w:eastAsia="微软雅黑" w:cs="Arial"/>
                <w:u w:val="single"/>
              </w:rPr>
              <w:t xml:space="preserve"> 3 </w:t>
            </w:r>
            <w:r>
              <w:rPr>
                <w:rFonts w:hint="eastAsia" w:ascii="微软雅黑" w:hAnsi="微软雅黑" w:eastAsia="微软雅黑"/>
              </w:rPr>
              <w:t>小时内到达现场，</w:t>
            </w:r>
            <w:r>
              <w:rPr>
                <w:rFonts w:hint="eastAsia" w:ascii="微软雅黑" w:hAnsi="微软雅黑" w:eastAsia="微软雅黑" w:cs="Arial"/>
                <w:u w:val="single"/>
              </w:rPr>
              <w:t xml:space="preserve"> 4 </w:t>
            </w:r>
            <w:r>
              <w:rPr>
                <w:rFonts w:hint="eastAsia" w:ascii="微软雅黑" w:hAnsi="微软雅黑" w:eastAsia="微软雅黑"/>
              </w:rPr>
              <w:t>小时内报告采购方主管负责人，</w:t>
            </w:r>
            <w:r>
              <w:rPr>
                <w:rFonts w:hint="eastAsia" w:ascii="微软雅黑" w:hAnsi="微软雅黑" w:eastAsia="微软雅黑" w:cs="Arial"/>
                <w:u w:val="single"/>
              </w:rPr>
              <w:t xml:space="preserve"> 2 </w:t>
            </w:r>
            <w:r>
              <w:rPr>
                <w:rFonts w:hint="eastAsia" w:ascii="微软雅黑" w:hAnsi="微软雅黑" w:eastAsia="微软雅黑"/>
              </w:rPr>
              <w:t>个工作日内解决。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cs="宋体"/>
                <w:sz w:val="24"/>
              </w:rPr>
            </w:pPr>
            <w:r>
              <w:rPr>
                <w:rFonts w:hint="eastAsia" w:ascii="微软雅黑" w:hAnsi="微软雅黑" w:eastAsia="微软雅黑" w:cs="宋体"/>
                <w:sz w:val="24"/>
              </w:rPr>
              <w:t>项目考核要求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628" w:type="dxa"/>
            <w:gridSpan w:val="6"/>
            <w:vAlign w:val="center"/>
          </w:tcPr>
          <w:p>
            <w:pPr>
              <w:numPr>
                <w:ilvl w:val="0"/>
                <w:numId w:val="9"/>
              </w:numPr>
              <w:spacing w:line="360" w:lineRule="auto"/>
              <w:outlineLvl w:val="1"/>
              <w:rPr>
                <w:rFonts w:ascii="微软雅黑" w:hAnsi="微软雅黑" w:eastAsia="微软雅黑"/>
                <w:sz w:val="24"/>
              </w:rPr>
            </w:pPr>
            <w:r>
              <w:rPr>
                <w:rFonts w:hint="eastAsia" w:ascii="微软雅黑" w:hAnsi="微软雅黑" w:eastAsia="微软雅黑"/>
                <w:sz w:val="24"/>
              </w:rPr>
              <w:t>总体要求</w:t>
            </w:r>
          </w:p>
          <w:p>
            <w:pPr>
              <w:spacing w:line="360" w:lineRule="auto"/>
              <w:ind w:firstLine="560"/>
              <w:rPr>
                <w:rFonts w:ascii="微软雅黑" w:hAnsi="微软雅黑" w:eastAsia="微软雅黑"/>
                <w:sz w:val="24"/>
              </w:rPr>
            </w:pPr>
            <w:r>
              <w:rPr>
                <w:rFonts w:hint="eastAsia" w:ascii="微软雅黑" w:hAnsi="微软雅黑" w:eastAsia="微软雅黑" w:cs="宋体"/>
                <w:kern w:val="0"/>
                <w:sz w:val="24"/>
              </w:rPr>
              <w:t>项目考核由采购人负责进行，考核必须公开公正，考核内容和标准必须按照合同要求，对合同内规定的运维内容进行逐一考核并打分，考核结果由双方共同签字盖章确认。</w:t>
            </w:r>
          </w:p>
          <w:p>
            <w:pPr>
              <w:numPr>
                <w:ilvl w:val="0"/>
                <w:numId w:val="9"/>
              </w:numPr>
              <w:spacing w:line="360" w:lineRule="auto"/>
              <w:outlineLvl w:val="1"/>
              <w:rPr>
                <w:rFonts w:ascii="微软雅黑" w:hAnsi="微软雅黑" w:eastAsia="微软雅黑"/>
                <w:sz w:val="24"/>
              </w:rPr>
            </w:pPr>
            <w:bookmarkStart w:id="16" w:name="_Toc329157457"/>
            <w:bookmarkStart w:id="17" w:name="_Toc334177053"/>
            <w:r>
              <w:rPr>
                <w:rFonts w:hint="eastAsia" w:ascii="微软雅黑" w:hAnsi="微软雅黑" w:eastAsia="微软雅黑"/>
                <w:sz w:val="24"/>
              </w:rPr>
              <w:t>绩效评估</w:t>
            </w:r>
            <w:bookmarkEnd w:id="16"/>
            <w:bookmarkEnd w:id="17"/>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绩效评估主要指标：考核总分=常规服务评分×60% + 非常规服务评分×40%；质量评价：优（120分）、良（100分）、中（80分）、可（60分）、差（40分）。</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从以下方面考察，评价分为：</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特别满足（符合处理时限且响应速度快，120分）</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满足（符合关于处理时限的要求，100分）</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不满足（不符合处理时限，但延迟时间还在用户方认定的忍受范围内，60分）</w:t>
            </w:r>
          </w:p>
          <w:p>
            <w:pPr>
              <w:spacing w:line="360" w:lineRule="auto"/>
              <w:ind w:firstLine="560"/>
              <w:rPr>
                <w:rFonts w:ascii="微软雅黑" w:hAnsi="微软雅黑" w:eastAsia="微软雅黑" w:cs="仿宋_GB2312"/>
                <w:kern w:val="0"/>
                <w:sz w:val="24"/>
              </w:rPr>
            </w:pPr>
            <w:r>
              <w:rPr>
                <w:rFonts w:hint="eastAsia" w:ascii="微软雅黑" w:hAnsi="微软雅黑" w:eastAsia="微软雅黑" w:cs="仿宋_GB2312"/>
                <w:kern w:val="0"/>
                <w:sz w:val="24"/>
              </w:rPr>
              <w:t>严重延迟（延迟60分钟以上，30分）</w:t>
            </w:r>
          </w:p>
          <w:p>
            <w:pPr>
              <w:spacing w:line="360" w:lineRule="auto"/>
              <w:outlineLvl w:val="1"/>
              <w:rPr>
                <w:rFonts w:ascii="微软雅黑" w:hAnsi="微软雅黑" w:eastAsia="微软雅黑"/>
                <w:sz w:val="24"/>
              </w:rPr>
            </w:pPr>
            <w:r>
              <w:rPr>
                <w:rFonts w:hint="eastAsia" w:ascii="微软雅黑" w:hAnsi="微软雅黑" w:eastAsia="微软雅黑" w:cs="宋体"/>
                <w:kern w:val="0"/>
                <w:sz w:val="24"/>
              </w:rPr>
              <w:t>绩效评估评分结果与合同款支付挂钩。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测试与验收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项目验收主要指标：本项目验收属于项目的合同验收，应符合广州市信息化项目相关验收管理办法的要求。</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同时应遵循下列标准：</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1.满足合同和招标文件中列举的全部要求；</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2.实现合同和招标文件中列举的全部功能；</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3.达到合同和招标文件中列举的全部指标；</w:t>
            </w:r>
          </w:p>
          <w:p>
            <w:pPr>
              <w:spacing w:line="360"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4.由采购人和投标人双方共同成立项目测试组，对系统实际运行情况进行测试，项目验收由专家组负责；</w:t>
            </w:r>
          </w:p>
          <w:p>
            <w:pPr>
              <w:spacing w:line="360" w:lineRule="auto"/>
              <w:rPr>
                <w:rFonts w:ascii="微软雅黑" w:hAnsi="微软雅黑" w:eastAsia="微软雅黑" w:cs="宋体"/>
                <w:sz w:val="24"/>
              </w:rPr>
            </w:pPr>
            <w:r>
              <w:rPr>
                <w:rFonts w:hint="eastAsia" w:ascii="微软雅黑" w:hAnsi="微软雅黑" w:eastAsia="微软雅黑" w:cs="宋体"/>
                <w:kern w:val="0"/>
                <w:sz w:val="24"/>
              </w:rPr>
              <w:t>5.验收项目包括按照合同和招标文件中所标明的服务内容，及相关的技术维护文档、培训教材、使用说明书等。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8" w:hRule="atLeast"/>
          <w:jc w:val="center"/>
        </w:trPr>
        <w:tc>
          <w:tcPr>
            <w:tcW w:w="9628" w:type="dxa"/>
            <w:gridSpan w:val="6"/>
            <w:vAlign w:val="center"/>
          </w:tcPr>
          <w:p>
            <w:pPr>
              <w:numPr>
                <w:ilvl w:val="0"/>
                <w:numId w:val="10"/>
              </w:numPr>
              <w:spacing w:line="360" w:lineRule="auto"/>
              <w:outlineLvl w:val="1"/>
              <w:rPr>
                <w:rFonts w:ascii="微软雅黑" w:hAnsi="微软雅黑" w:eastAsia="微软雅黑"/>
                <w:sz w:val="24"/>
              </w:rPr>
            </w:pPr>
            <w:bookmarkStart w:id="18" w:name="_Toc317973771"/>
            <w:bookmarkStart w:id="19" w:name="_Toc173830632"/>
            <w:bookmarkStart w:id="20" w:name="_Toc203534316"/>
            <w:bookmarkStart w:id="21" w:name="_Toc130888339"/>
            <w:bookmarkStart w:id="22" w:name="_Toc133653781"/>
            <w:bookmarkStart w:id="23" w:name="_Toc160611411"/>
            <w:bookmarkStart w:id="24" w:name="_Toc213472581"/>
            <w:bookmarkStart w:id="25" w:name="_Toc200540147"/>
            <w:bookmarkStart w:id="26" w:name="_Toc153682297"/>
            <w:bookmarkStart w:id="27" w:name="_Toc153656598"/>
            <w:bookmarkStart w:id="28" w:name="_Toc246231365"/>
            <w:bookmarkStart w:id="29" w:name="_Toc176084451"/>
            <w:bookmarkStart w:id="30" w:name="_Toc357522403"/>
            <w:bookmarkStart w:id="31" w:name="_Toc405900447"/>
            <w:bookmarkStart w:id="32" w:name="_Toc173843270"/>
            <w:bookmarkStart w:id="33" w:name="_Toc173843945"/>
            <w:bookmarkStart w:id="34" w:name="_Toc173830529"/>
            <w:bookmarkStart w:id="35" w:name="_Toc203188579"/>
            <w:bookmarkStart w:id="36" w:name="_Toc212956826"/>
            <w:bookmarkStart w:id="37" w:name="_Toc203984989"/>
            <w:r>
              <w:rPr>
                <w:rFonts w:hint="eastAsia" w:ascii="微软雅黑" w:hAnsi="微软雅黑" w:eastAsia="微软雅黑"/>
                <w:sz w:val="24"/>
              </w:rPr>
              <w:t>目的</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8"/>
              <w:spacing w:after="0" w:line="360" w:lineRule="auto"/>
              <w:rPr>
                <w:rFonts w:ascii="微软雅黑" w:hAnsi="微软雅黑" w:eastAsia="微软雅黑"/>
                <w:sz w:val="24"/>
                <w:szCs w:val="24"/>
              </w:rPr>
            </w:pPr>
            <w:r>
              <w:rPr>
                <w:rFonts w:hint="eastAsia" w:ascii="微软雅黑" w:hAnsi="微软雅黑" w:eastAsia="微软雅黑"/>
                <w:sz w:val="24"/>
                <w:szCs w:val="24"/>
              </w:rPr>
              <w:t>使之能够顺利地实施项目咨询、体系建设和更好地配合和理解运维体系和流程；使采购人掌握对信息化系统的使用及维护。</w:t>
            </w:r>
          </w:p>
          <w:p>
            <w:pPr>
              <w:numPr>
                <w:ilvl w:val="0"/>
                <w:numId w:val="10"/>
              </w:numPr>
              <w:spacing w:line="360" w:lineRule="auto"/>
              <w:outlineLvl w:val="1"/>
              <w:rPr>
                <w:rFonts w:ascii="微软雅黑" w:hAnsi="微软雅黑" w:eastAsia="微软雅黑"/>
                <w:sz w:val="24"/>
              </w:rPr>
            </w:pPr>
            <w:bookmarkStart w:id="38" w:name="_Toc173830633"/>
            <w:bookmarkStart w:id="39" w:name="_Toc133653782"/>
            <w:bookmarkStart w:id="40" w:name="_Toc173843946"/>
            <w:bookmarkStart w:id="41" w:name="_Toc160611412"/>
            <w:bookmarkStart w:id="42" w:name="_Toc173830530"/>
            <w:bookmarkStart w:id="43" w:name="_Toc173843271"/>
            <w:bookmarkStart w:id="44" w:name="_Toc153656599"/>
            <w:bookmarkStart w:id="45" w:name="_Toc153682298"/>
            <w:bookmarkStart w:id="46" w:name="_Toc317973772"/>
            <w:bookmarkStart w:id="47" w:name="_Toc405900448"/>
            <w:bookmarkStart w:id="48" w:name="_Toc246231366"/>
            <w:bookmarkStart w:id="49" w:name="_Toc203188580"/>
            <w:bookmarkStart w:id="50" w:name="_Toc200540148"/>
            <w:bookmarkStart w:id="51" w:name="_Toc203984990"/>
            <w:bookmarkStart w:id="52" w:name="_Toc176084452"/>
            <w:bookmarkStart w:id="53" w:name="_Toc212956827"/>
            <w:bookmarkStart w:id="54" w:name="_Toc203534317"/>
            <w:bookmarkStart w:id="55" w:name="_Toc213472582"/>
            <w:bookmarkStart w:id="56" w:name="_Toc357522404"/>
            <w:r>
              <w:rPr>
                <w:rFonts w:hint="eastAsia" w:ascii="微软雅黑" w:hAnsi="微软雅黑" w:eastAsia="微软雅黑"/>
                <w:sz w:val="24"/>
              </w:rPr>
              <w:t>培训</w:t>
            </w:r>
            <w:bookmarkEnd w:id="38"/>
            <w:bookmarkEnd w:id="39"/>
            <w:bookmarkEnd w:id="40"/>
            <w:bookmarkEnd w:id="41"/>
            <w:bookmarkEnd w:id="42"/>
            <w:bookmarkEnd w:id="43"/>
            <w:bookmarkEnd w:id="44"/>
            <w:bookmarkEnd w:id="45"/>
            <w:r>
              <w:rPr>
                <w:rFonts w:hint="eastAsia" w:ascii="微软雅黑" w:hAnsi="微软雅黑" w:eastAsia="微软雅黑"/>
                <w:sz w:val="24"/>
              </w:rPr>
              <w:t>要求</w:t>
            </w:r>
            <w:bookmarkEnd w:id="46"/>
            <w:bookmarkEnd w:id="47"/>
            <w:bookmarkEnd w:id="48"/>
            <w:bookmarkEnd w:id="49"/>
            <w:bookmarkEnd w:id="50"/>
            <w:bookmarkEnd w:id="51"/>
            <w:bookmarkEnd w:id="52"/>
            <w:bookmarkEnd w:id="53"/>
            <w:bookmarkEnd w:id="54"/>
            <w:bookmarkEnd w:id="55"/>
            <w:bookmarkEnd w:id="56"/>
          </w:p>
          <w:p>
            <w:pPr>
              <w:pStyle w:val="8"/>
              <w:spacing w:after="0" w:line="360" w:lineRule="auto"/>
              <w:rPr>
                <w:rFonts w:ascii="微软雅黑" w:hAnsi="微软雅黑" w:eastAsia="微软雅黑"/>
                <w:sz w:val="24"/>
                <w:szCs w:val="24"/>
              </w:rPr>
            </w:pPr>
            <w:r>
              <w:rPr>
                <w:rFonts w:hint="eastAsia" w:ascii="微软雅黑" w:hAnsi="微软雅黑" w:eastAsia="微软雅黑"/>
                <w:sz w:val="24"/>
                <w:szCs w:val="24"/>
              </w:rPr>
              <w:t>对系统管理员进行充分的技术培训，保证管理人员掌握必要的技术、管理工具，通晓管理规范。</w:t>
            </w:r>
          </w:p>
          <w:p>
            <w:pPr>
              <w:numPr>
                <w:ilvl w:val="0"/>
                <w:numId w:val="10"/>
              </w:numPr>
              <w:spacing w:line="360" w:lineRule="auto"/>
              <w:outlineLvl w:val="1"/>
              <w:rPr>
                <w:rFonts w:ascii="微软雅黑" w:hAnsi="微软雅黑" w:eastAsia="微软雅黑"/>
                <w:sz w:val="24"/>
              </w:rPr>
            </w:pPr>
            <w:bookmarkStart w:id="57" w:name="_Toc357522405"/>
            <w:bookmarkStart w:id="58" w:name="_Toc203534318"/>
            <w:bookmarkStart w:id="59" w:name="_Toc203188581"/>
            <w:bookmarkStart w:id="60" w:name="_Toc405900449"/>
            <w:bookmarkStart w:id="61" w:name="_Toc246231367"/>
            <w:bookmarkStart w:id="62" w:name="_Toc212956828"/>
            <w:bookmarkStart w:id="63" w:name="_Toc200540149"/>
            <w:bookmarkStart w:id="64" w:name="_Toc317973773"/>
            <w:bookmarkStart w:id="65" w:name="_Toc213472583"/>
            <w:bookmarkStart w:id="66" w:name="_Toc203984991"/>
            <w:r>
              <w:rPr>
                <w:rFonts w:hint="eastAsia" w:ascii="微软雅黑" w:hAnsi="微软雅黑" w:eastAsia="微软雅黑"/>
                <w:sz w:val="24"/>
              </w:rPr>
              <w:t>培训师资</w:t>
            </w:r>
            <w:bookmarkEnd w:id="57"/>
            <w:bookmarkEnd w:id="58"/>
            <w:bookmarkEnd w:id="59"/>
            <w:bookmarkEnd w:id="60"/>
            <w:bookmarkEnd w:id="61"/>
            <w:bookmarkEnd w:id="62"/>
            <w:bookmarkEnd w:id="63"/>
            <w:bookmarkEnd w:id="64"/>
            <w:bookmarkEnd w:id="65"/>
            <w:bookmarkEnd w:id="66"/>
          </w:p>
          <w:p>
            <w:pPr>
              <w:pStyle w:val="8"/>
              <w:spacing w:line="360" w:lineRule="auto"/>
              <w:rPr>
                <w:rFonts w:ascii="微软雅黑" w:hAnsi="微软雅黑" w:eastAsia="微软雅黑"/>
                <w:sz w:val="24"/>
                <w:szCs w:val="24"/>
              </w:rPr>
            </w:pPr>
            <w:r>
              <w:rPr>
                <w:rFonts w:hint="eastAsia" w:ascii="微软雅黑" w:hAnsi="微软雅黑" w:eastAsia="微软雅黑"/>
                <w:sz w:val="24"/>
                <w:szCs w:val="24"/>
              </w:rPr>
              <w:t>成交供应商派出具有相应专业资格和实际工作经验的教师和相应的辅导人才，主要的培训教员均获得相应的资格认证并且具有</w:t>
            </w:r>
            <w:r>
              <w:rPr>
                <w:rFonts w:hint="eastAsia" w:ascii="微软雅黑" w:hAnsi="微软雅黑" w:eastAsia="微软雅黑" w:cs="Arial"/>
                <w:sz w:val="24"/>
                <w:szCs w:val="24"/>
                <w:u w:val="single"/>
              </w:rPr>
              <w:t xml:space="preserve">  2 </w:t>
            </w:r>
            <w:r>
              <w:rPr>
                <w:rFonts w:hint="eastAsia" w:ascii="微软雅黑" w:hAnsi="微软雅黑" w:eastAsia="微软雅黑"/>
                <w:sz w:val="24"/>
                <w:szCs w:val="24"/>
              </w:rPr>
              <w:t>年的实际教学经验。培训使用的语言和教材均为中文。</w:t>
            </w:r>
          </w:p>
          <w:p>
            <w:pPr>
              <w:numPr>
                <w:ilvl w:val="0"/>
                <w:numId w:val="10"/>
              </w:numPr>
              <w:spacing w:line="360" w:lineRule="auto"/>
              <w:outlineLvl w:val="1"/>
              <w:rPr>
                <w:rFonts w:ascii="微软雅黑" w:hAnsi="微软雅黑" w:eastAsia="微软雅黑"/>
                <w:sz w:val="24"/>
              </w:rPr>
            </w:pPr>
            <w:bookmarkStart w:id="67" w:name="_Toc357522406"/>
            <w:bookmarkStart w:id="68" w:name="_Toc200540150"/>
            <w:bookmarkStart w:id="69" w:name="_Toc203188582"/>
            <w:bookmarkStart w:id="70" w:name="_Toc212956829"/>
            <w:bookmarkStart w:id="71" w:name="_Toc176084454"/>
            <w:bookmarkStart w:id="72" w:name="_Toc203984992"/>
            <w:bookmarkStart w:id="73" w:name="_Toc246231368"/>
            <w:bookmarkStart w:id="74" w:name="_Toc405900450"/>
            <w:bookmarkStart w:id="75" w:name="_Toc317973774"/>
            <w:bookmarkStart w:id="76" w:name="_Toc203534319"/>
            <w:bookmarkStart w:id="77" w:name="_Toc213472584"/>
            <w:r>
              <w:rPr>
                <w:rFonts w:hint="eastAsia" w:ascii="微软雅黑" w:hAnsi="微软雅黑" w:eastAsia="微软雅黑"/>
                <w:sz w:val="24"/>
              </w:rPr>
              <w:t>个人应用培训</w:t>
            </w:r>
            <w:bookmarkEnd w:id="67"/>
            <w:bookmarkEnd w:id="68"/>
            <w:bookmarkEnd w:id="69"/>
            <w:bookmarkEnd w:id="70"/>
            <w:bookmarkEnd w:id="71"/>
            <w:bookmarkEnd w:id="72"/>
            <w:bookmarkEnd w:id="73"/>
            <w:bookmarkEnd w:id="74"/>
            <w:bookmarkEnd w:id="75"/>
            <w:bookmarkEnd w:id="76"/>
            <w:bookmarkEnd w:id="77"/>
          </w:p>
          <w:p>
            <w:pPr>
              <w:pStyle w:val="8"/>
              <w:spacing w:after="0" w:line="360" w:lineRule="auto"/>
              <w:rPr>
                <w:rFonts w:ascii="微软雅黑" w:hAnsi="微软雅黑" w:eastAsia="微软雅黑"/>
                <w:sz w:val="24"/>
                <w:szCs w:val="24"/>
              </w:rPr>
            </w:pPr>
            <w:r>
              <w:rPr>
                <w:rFonts w:hint="eastAsia" w:ascii="微软雅黑" w:hAnsi="微软雅黑" w:eastAsia="微软雅黑"/>
                <w:sz w:val="24"/>
                <w:szCs w:val="24"/>
              </w:rPr>
              <w:t>成交供应商在运维服务过程中将根据采购人终端用户服务申请情况予以分类，进行个人应用培训，培训周期：至少每</w:t>
            </w:r>
            <w:r>
              <w:rPr>
                <w:rFonts w:hint="eastAsia" w:ascii="微软雅黑" w:hAnsi="微软雅黑" w:eastAsia="微软雅黑" w:cs="Arial"/>
                <w:sz w:val="24"/>
                <w:szCs w:val="24"/>
                <w:u w:val="single"/>
              </w:rPr>
              <w:t xml:space="preserve">  6  </w:t>
            </w:r>
            <w:r>
              <w:rPr>
                <w:rFonts w:hint="eastAsia" w:ascii="微软雅黑" w:hAnsi="微软雅黑" w:eastAsia="微软雅黑"/>
                <w:sz w:val="24"/>
                <w:szCs w:val="24"/>
              </w:rPr>
              <w:t>个月一次。</w:t>
            </w:r>
          </w:p>
          <w:p>
            <w:pPr>
              <w:numPr>
                <w:ilvl w:val="0"/>
                <w:numId w:val="10"/>
              </w:numPr>
              <w:spacing w:line="360" w:lineRule="auto"/>
              <w:outlineLvl w:val="1"/>
              <w:rPr>
                <w:rFonts w:ascii="微软雅黑" w:hAnsi="微软雅黑" w:eastAsia="微软雅黑"/>
                <w:sz w:val="24"/>
              </w:rPr>
            </w:pPr>
            <w:bookmarkStart w:id="78" w:name="_Toc176084455"/>
            <w:bookmarkStart w:id="79" w:name="_Toc213472585"/>
            <w:bookmarkStart w:id="80" w:name="_Toc203534320"/>
            <w:bookmarkStart w:id="81" w:name="_Toc200540151"/>
            <w:bookmarkStart w:id="82" w:name="_Toc203984993"/>
            <w:bookmarkStart w:id="83" w:name="_Toc212956830"/>
            <w:bookmarkStart w:id="84" w:name="_Toc246231369"/>
            <w:bookmarkStart w:id="85" w:name="_Toc317973775"/>
            <w:bookmarkStart w:id="86" w:name="_Toc357522407"/>
            <w:bookmarkStart w:id="87" w:name="_Toc203188583"/>
            <w:bookmarkStart w:id="88" w:name="_Toc405900451"/>
            <w:r>
              <w:rPr>
                <w:rFonts w:hint="eastAsia" w:ascii="微软雅黑" w:hAnsi="微软雅黑" w:eastAsia="微软雅黑"/>
                <w:sz w:val="24"/>
              </w:rPr>
              <w:t>费用</w:t>
            </w:r>
            <w:bookmarkEnd w:id="78"/>
            <w:bookmarkEnd w:id="79"/>
            <w:bookmarkEnd w:id="80"/>
            <w:bookmarkEnd w:id="81"/>
            <w:bookmarkEnd w:id="82"/>
            <w:bookmarkEnd w:id="83"/>
            <w:bookmarkEnd w:id="84"/>
            <w:bookmarkEnd w:id="85"/>
            <w:bookmarkEnd w:id="86"/>
            <w:bookmarkEnd w:id="87"/>
            <w:bookmarkEnd w:id="88"/>
          </w:p>
          <w:p>
            <w:pPr>
              <w:pStyle w:val="8"/>
              <w:spacing w:line="360" w:lineRule="auto"/>
              <w:rPr>
                <w:rFonts w:ascii="微软雅黑" w:hAnsi="微软雅黑" w:eastAsia="微软雅黑"/>
                <w:sz w:val="24"/>
                <w:szCs w:val="24"/>
              </w:rPr>
            </w:pPr>
            <w:r>
              <w:rPr>
                <w:rFonts w:hint="eastAsia" w:ascii="微软雅黑" w:hAnsi="微软雅黑" w:eastAsia="微软雅黑"/>
                <w:sz w:val="24"/>
                <w:szCs w:val="24"/>
              </w:rPr>
              <w:t>供应商应将所有培训费用（含培训教材费）及各项支出费用分别报价并计入响应总价。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28" w:type="dxa"/>
            <w:gridSpan w:val="6"/>
            <w:vAlign w:val="center"/>
          </w:tcPr>
          <w:p>
            <w:pPr>
              <w:spacing w:line="360" w:lineRule="auto"/>
              <w:rPr>
                <w:rFonts w:ascii="微软雅黑" w:hAnsi="微软雅黑" w:eastAsia="微软雅黑"/>
                <w:sz w:val="24"/>
              </w:rPr>
            </w:pPr>
            <w:r>
              <w:rPr>
                <w:rFonts w:hint="eastAsia" w:ascii="微软雅黑" w:hAnsi="微软雅黑" w:eastAsia="微软雅黑" w:cs="宋体"/>
                <w:sz w:val="24"/>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628" w:type="dxa"/>
            <w:gridSpan w:val="6"/>
            <w:vAlign w:val="center"/>
          </w:tcPr>
          <w:p>
            <w:pPr>
              <w:spacing w:line="500" w:lineRule="exact"/>
              <w:ind w:firstLine="566" w:firstLineChars="236"/>
              <w:rPr>
                <w:rFonts w:ascii="微软雅黑" w:hAnsi="微软雅黑" w:eastAsia="微软雅黑" w:cstheme="minorBidi"/>
                <w:sz w:val="24"/>
              </w:rPr>
            </w:pPr>
            <w:r>
              <w:rPr>
                <w:rFonts w:hint="eastAsia" w:ascii="微软雅黑" w:hAnsi="微软雅黑" w:eastAsia="微软雅黑" w:cstheme="minorBidi"/>
                <w:sz w:val="24"/>
              </w:rPr>
              <w:t>1．自本合同签订起，服务期满</w:t>
            </w:r>
            <w:r>
              <w:rPr>
                <w:rFonts w:ascii="微软雅黑" w:hAnsi="微软雅黑" w:eastAsia="微软雅黑" w:cstheme="minorBidi"/>
                <w:sz w:val="24"/>
              </w:rPr>
              <w:t>6</w:t>
            </w:r>
            <w:r>
              <w:rPr>
                <w:rFonts w:hint="eastAsia" w:ascii="微软雅黑" w:hAnsi="微软雅黑" w:eastAsia="微软雅黑" w:cstheme="minorBidi"/>
                <w:sz w:val="24"/>
              </w:rPr>
              <w:t>个月后，在10个工作日内根据绩效评估等级确定的付款比例申请财政支付合同金额的</w:t>
            </w:r>
            <w:r>
              <w:rPr>
                <w:rFonts w:ascii="微软雅黑" w:hAnsi="微软雅黑" w:eastAsia="微软雅黑" w:cstheme="minorBidi"/>
                <w:sz w:val="24"/>
              </w:rPr>
              <w:t>50</w:t>
            </w:r>
            <w:r>
              <w:rPr>
                <w:rFonts w:hint="eastAsia" w:ascii="微软雅黑" w:hAnsi="微软雅黑" w:eastAsia="微软雅黑" w:cstheme="minorBidi"/>
                <w:sz w:val="24"/>
              </w:rPr>
              <w:t>%；</w:t>
            </w:r>
          </w:p>
          <w:p>
            <w:pPr>
              <w:spacing w:line="500" w:lineRule="exact"/>
              <w:ind w:firstLine="566" w:firstLineChars="236"/>
              <w:rPr>
                <w:rFonts w:ascii="微软雅黑" w:hAnsi="微软雅黑" w:eastAsia="微软雅黑" w:cstheme="minorBidi"/>
                <w:sz w:val="24"/>
              </w:rPr>
            </w:pPr>
            <w:r>
              <w:rPr>
                <w:rFonts w:ascii="微软雅黑" w:hAnsi="微软雅黑" w:eastAsia="微软雅黑" w:cstheme="minorBidi"/>
                <w:sz w:val="24"/>
              </w:rPr>
              <w:t>2</w:t>
            </w:r>
            <w:r>
              <w:rPr>
                <w:rFonts w:hint="eastAsia" w:ascii="微软雅黑" w:hAnsi="微软雅黑" w:eastAsia="微软雅黑" w:cstheme="minorBidi"/>
                <w:sz w:val="24"/>
              </w:rPr>
              <w:t>. 当服务期满并通过项目终验后，收到中标人开具的发票后15个工作日内，根据验收情况支付合同余额（合同总额的</w:t>
            </w:r>
            <w:r>
              <w:rPr>
                <w:rFonts w:ascii="微软雅黑" w:hAnsi="微软雅黑" w:eastAsia="微软雅黑" w:cstheme="minorBidi"/>
                <w:sz w:val="24"/>
              </w:rPr>
              <w:t>50</w:t>
            </w:r>
            <w:r>
              <w:rPr>
                <w:rFonts w:hint="eastAsia" w:ascii="微软雅黑" w:hAnsi="微软雅黑" w:eastAsia="微软雅黑" w:cstheme="minorBidi"/>
                <w:sz w:val="24"/>
              </w:rPr>
              <w:t>％）。</w:t>
            </w:r>
          </w:p>
          <w:p>
            <w:pPr>
              <w:spacing w:line="360" w:lineRule="auto"/>
              <w:jc w:val="left"/>
              <w:rPr>
                <w:rFonts w:ascii="微软雅黑" w:hAnsi="微软雅黑" w:eastAsia="微软雅黑"/>
                <w:sz w:val="24"/>
              </w:rPr>
            </w:pPr>
          </w:p>
        </w:tc>
      </w:tr>
      <w:bookmarkEnd w:id="0"/>
      <w:bookmarkEnd w:id="1"/>
      <w:bookmarkEnd w:id="2"/>
      <w:bookmarkEnd w:id="3"/>
      <w:bookmarkEnd w:id="4"/>
      <w:bookmarkEnd w:id="5"/>
      <w:bookmarkEnd w:id="6"/>
      <w:bookmarkEnd w:id="7"/>
    </w:tbl>
    <w:p/>
    <w:sectPr>
      <w:footerReference r:id="rId4" w:type="first"/>
      <w:footerReference r:id="rId3" w:type="default"/>
      <w:pgSz w:w="11907" w:h="16840"/>
      <w:pgMar w:top="1440" w:right="1080" w:bottom="1440" w:left="1080" w:header="737" w:footer="56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21E76"/>
    <w:multiLevelType w:val="singleLevel"/>
    <w:tmpl w:val="F5321E76"/>
    <w:lvl w:ilvl="0" w:tentative="0">
      <w:start w:val="1"/>
      <w:numFmt w:val="decimal"/>
      <w:suff w:val="nothing"/>
      <w:lvlText w:val="（%1）"/>
      <w:lvlJc w:val="left"/>
    </w:lvl>
  </w:abstractNum>
  <w:abstractNum w:abstractNumId="1">
    <w:nsid w:val="181E7407"/>
    <w:multiLevelType w:val="multilevel"/>
    <w:tmpl w:val="181E7407"/>
    <w:lvl w:ilvl="0" w:tentative="0">
      <w:start w:val="3"/>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75007F"/>
    <w:multiLevelType w:val="multilevel"/>
    <w:tmpl w:val="1875007F"/>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473541C"/>
    <w:multiLevelType w:val="singleLevel"/>
    <w:tmpl w:val="5473541C"/>
    <w:lvl w:ilvl="0" w:tentative="0">
      <w:start w:val="1"/>
      <w:numFmt w:val="decimal"/>
      <w:suff w:val="nothing"/>
      <w:lvlText w:val="（%1）"/>
      <w:lvlJc w:val="left"/>
      <w:pPr>
        <w:ind w:left="0" w:firstLine="400"/>
      </w:pPr>
      <w:rPr>
        <w:rFonts w:hint="default"/>
      </w:rPr>
    </w:lvl>
  </w:abstractNum>
  <w:abstractNum w:abstractNumId="4">
    <w:nsid w:val="6AF4585F"/>
    <w:multiLevelType w:val="multilevel"/>
    <w:tmpl w:val="6AF4585F"/>
    <w:lvl w:ilvl="0" w:tentative="0">
      <w:start w:val="1"/>
      <w:numFmt w:val="chineseCountingThousand"/>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6F60E7"/>
    <w:multiLevelType w:val="multilevel"/>
    <w:tmpl w:val="6E6F60E7"/>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
    <w:nsid w:val="6E6F60EB"/>
    <w:multiLevelType w:val="multilevel"/>
    <w:tmpl w:val="6E6F60EB"/>
    <w:lvl w:ilvl="0" w:tentative="0">
      <w:start w:val="1"/>
      <w:numFmt w:val="lowerLetter"/>
      <w:lvlText w:val="%1)"/>
      <w:lvlJc w:val="left"/>
      <w:pPr>
        <w:ind w:left="900" w:hanging="420"/>
      </w:pPr>
    </w:lvl>
    <w:lvl w:ilvl="1" w:tentative="0">
      <w:start w:val="1"/>
      <w:numFmt w:val="lowerLetter"/>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64F016E"/>
    <w:multiLevelType w:val="multilevel"/>
    <w:tmpl w:val="764F016E"/>
    <w:lvl w:ilvl="0" w:tentative="0">
      <w:start w:val="1"/>
      <w:numFmt w:val="chineseCountingThousand"/>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BC7C15"/>
    <w:multiLevelType w:val="multilevel"/>
    <w:tmpl w:val="7DBC7C1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EDB637F"/>
    <w:multiLevelType w:val="multilevel"/>
    <w:tmpl w:val="7EDB637F"/>
    <w:lvl w:ilvl="0" w:tentative="0">
      <w:start w:val="1"/>
      <w:numFmt w:val="bullet"/>
      <w:lvlText w:val=""/>
      <w:lvlJc w:val="righ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8"/>
  </w:num>
  <w:num w:numId="2">
    <w:abstractNumId w:val="0"/>
  </w:num>
  <w:num w:numId="3">
    <w:abstractNumId w:val="5"/>
  </w:num>
  <w:num w:numId="4">
    <w:abstractNumId w:val="6"/>
  </w:num>
  <w:num w:numId="5">
    <w:abstractNumId w:val="9"/>
  </w:num>
  <w:num w:numId="6">
    <w:abstractNumId w:val="2"/>
  </w:num>
  <w:num w:numId="7">
    <w:abstractNumId w:val="1"/>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3018F"/>
    <w:rsid w:val="0E4112DF"/>
    <w:rsid w:val="15693769"/>
    <w:rsid w:val="1CC1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spacing w:line="360" w:lineRule="auto"/>
      <w:ind w:left="181" w:firstLine="420"/>
    </w:pPr>
    <w:rPr>
      <w:rFonts w:asciiTheme="minorHAnsi" w:hAnsiTheme="minorHAnsi" w:eastAsiaTheme="minorEastAsia" w:cstheme="minorBidi"/>
      <w:sz w:val="24"/>
      <w:szCs w:val="22"/>
    </w:rPr>
  </w:style>
  <w:style w:type="paragraph" w:styleId="4">
    <w:name w:val="Body Text"/>
    <w:basedOn w:val="1"/>
    <w:semiHidden/>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2"/>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paragraph" w:styleId="8">
    <w:name w:val="Body Text First Indent"/>
    <w:basedOn w:val="4"/>
    <w:qFormat/>
    <w:uiPriority w:val="0"/>
    <w:pPr>
      <w:ind w:firstLine="420"/>
    </w:pPr>
    <w:rPr>
      <w:rFonts w:asciiTheme="minorHAnsi" w:hAnsiTheme="minorHAnsi" w:eastAsiaTheme="minorEastAsia" w:cstheme="minorBidi"/>
      <w:szCs w:val="22"/>
    </w:rPr>
  </w:style>
  <w:style w:type="paragraph" w:styleId="11">
    <w:name w:val="List Paragraph"/>
    <w:basedOn w:val="1"/>
    <w:qFormat/>
    <w:uiPriority w:val="0"/>
    <w:pPr>
      <w:ind w:firstLine="420" w:firstLineChars="200"/>
    </w:pPr>
    <w:rPr>
      <w:rFonts w:asciiTheme="minorHAnsi" w:hAnsiTheme="minorHAnsi" w:cstheme="minorBidi"/>
    </w:rPr>
  </w:style>
  <w:style w:type="character" w:customStyle="1" w:styleId="12">
    <w:name w:val="p141"/>
    <w:qFormat/>
    <w:uiPriority w:val="0"/>
    <w:rPr>
      <w:sz w:val="21"/>
      <w:szCs w:val="21"/>
    </w:rPr>
  </w:style>
  <w:style w:type="paragraph" w:customStyle="1" w:styleId="13">
    <w:name w:val="标题 1_0"/>
    <w:basedOn w:val="1"/>
    <w:next w:val="1"/>
    <w:qFormat/>
    <w:uiPriority w:val="0"/>
    <w:pPr>
      <w:keepNext/>
      <w:keepLines/>
      <w:spacing w:before="340" w:after="330" w:line="576" w:lineRule="auto"/>
      <w:outlineLvl w:val="0"/>
    </w:pPr>
    <w:rPr>
      <w:rFonts w:ascii="Calibri" w:hAnsi="Calibri"/>
      <w:b/>
      <w:bCs/>
      <w:kern w:val="44"/>
      <w:sz w:val="44"/>
      <w:szCs w:val="44"/>
    </w:rPr>
  </w:style>
  <w:style w:type="paragraph" w:customStyle="1" w:styleId="1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_0_0"/>
    <w:qFormat/>
    <w:uiPriority w:val="0"/>
    <w:rPr>
      <w:rFonts w:ascii="Times New Roman" w:hAnsi="Times New Roman" w:eastAsia="宋体" w:cs="Times New Roman"/>
      <w:kern w:val="0"/>
      <w:sz w:val="20"/>
      <w:szCs w:val="20"/>
      <w:lang w:val="en-US" w:eastAsia="zh-CN" w:bidi="ar-SA"/>
    </w:rPr>
  </w:style>
  <w:style w:type="paragraph" w:customStyle="1" w:styleId="16">
    <w:name w:val="正文文本_0"/>
    <w:basedOn w:val="17"/>
    <w:qFormat/>
    <w:uiPriority w:val="0"/>
    <w:pPr>
      <w:spacing w:after="120"/>
    </w:pPr>
    <w:rPr>
      <w:rFonts w:ascii="Tahoma" w:hAnsi="Tahoma" w:eastAsiaTheme="minorEastAsia" w:cstheme="minorBidi"/>
    </w:rPr>
  </w:style>
  <w:style w:type="paragraph" w:customStyle="1" w:styleId="1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常规"/>
    <w:basedOn w:val="17"/>
    <w:qFormat/>
    <w:uiPriority w:val="0"/>
    <w:rPr>
      <w:rFonts w:ascii="Tahoma" w:hAnsi="Tahoma" w:eastAsiaTheme="minorEastAsia" w:cstheme="minorBidi"/>
      <w:sz w:val="24"/>
      <w:szCs w:val="24"/>
    </w:rPr>
  </w:style>
  <w:style w:type="paragraph" w:customStyle="1" w:styleId="19">
    <w:name w:val="样式7"/>
    <w:basedOn w:val="17"/>
    <w:qFormat/>
    <w:uiPriority w:val="0"/>
    <w:pPr>
      <w:spacing w:beforeLines="50" w:afterLines="50" w:line="360" w:lineRule="auto"/>
      <w:ind w:firstLine="480" w:firstLineChars="200"/>
    </w:pPr>
    <w:rPr>
      <w:rFonts w:ascii="宋体" w:hAnsi="宋体" w:eastAsiaTheme="minorEastAsia" w:cstheme="minorBidi"/>
      <w:sz w:val="24"/>
      <w:szCs w:val="21"/>
    </w:rPr>
  </w:style>
  <w:style w:type="paragraph" w:customStyle="1" w:styleId="20">
    <w:name w:val="正文缩进_0"/>
    <w:basedOn w:val="1"/>
    <w:qFormat/>
    <w:uiPriority w:val="0"/>
    <w:pPr>
      <w:widowControl/>
      <w:ind w:firstLine="420"/>
      <w:jc w:val="left"/>
    </w:pPr>
    <w:rPr>
      <w:kern w:val="0"/>
      <w:sz w:val="20"/>
      <w:szCs w:val="20"/>
    </w:rPr>
  </w:style>
  <w:style w:type="paragraph" w:customStyle="1" w:styleId="21">
    <w:name w:val="正文_2"/>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2">
    <w:name w:val="0正文"/>
    <w:basedOn w:val="1"/>
    <w:qFormat/>
    <w:uiPriority w:val="0"/>
    <w:pPr>
      <w:adjustRightInd w:val="0"/>
      <w:spacing w:line="360" w:lineRule="auto"/>
      <w:ind w:firstLine="420" w:firstLineChars="200"/>
      <w:textAlignment w:val="baseline"/>
    </w:pPr>
    <w:rPr>
      <w:rFonts w:ascii="宋体" w:hAnsi="宋体" w:eastAsiaTheme="minorEastAsia" w:cstheme="minorBid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2024-07-18T08:23:29Z</cp:lastPrinted>
  <dcterms:modified xsi:type="dcterms:W3CDTF">2024-07-19T02:05:20Z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C7B94823CE954D739E7A9B4E4A090654</vt:lpwstr>
  </property>
</Properties>
</file>