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6AAE8">
      <w:pPr>
        <w:keepNext w:val="0"/>
        <w:keepLines w:val="0"/>
        <w:pageBreakBefore w:val="0"/>
        <w:widowControl/>
        <w:numPr>
          <w:ilvl w:val="-1"/>
          <w:numId w:val="0"/>
        </w:numPr>
        <w:tabs>
          <w:tab w:val="left" w:pos="0"/>
        </w:tabs>
        <w:snapToGrid w:val="0"/>
        <w:spacing w:line="360" w:lineRule="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2</w:t>
      </w:r>
    </w:p>
    <w:p w14:paraId="0D37319E">
      <w:pPr>
        <w:keepNext w:val="0"/>
        <w:keepLines w:val="0"/>
        <w:pageBreakBefore w:val="0"/>
        <w:widowControl w:val="0"/>
        <w:shd w:val="clear" w:color="auto" w:fill="FFFFFF"/>
        <w:tabs>
          <w:tab w:val="left" w:pos="0"/>
        </w:tabs>
        <w:snapToGrid w:val="0"/>
        <w:spacing w:line="560" w:lineRule="exact"/>
        <w:ind w:left="0" w:leftChars="0" w:firstLine="0" w:firstLineChars="0"/>
        <w:jc w:val="center"/>
        <w:rPr>
          <w:rFonts w:hint="eastAsia" w:ascii="方正小标宋简体" w:hAnsi="方正小标宋简体" w:eastAsia="方正小标宋简体" w:cs="方正小标宋简体"/>
          <w:bCs/>
          <w:color w:val="auto"/>
          <w:sz w:val="36"/>
          <w:szCs w:val="36"/>
          <w:highlight w:val="none"/>
          <w:lang w:val="en-US" w:eastAsia="zh-CN"/>
        </w:rPr>
      </w:pPr>
      <w:bookmarkStart w:id="0" w:name="_GoBack"/>
      <w:r>
        <w:rPr>
          <w:rFonts w:hint="eastAsia" w:ascii="方正小标宋简体" w:hAnsi="方正小标宋简体" w:eastAsia="方正小标宋简体" w:cs="方正小标宋简体"/>
          <w:bCs/>
          <w:color w:val="auto"/>
          <w:sz w:val="36"/>
          <w:szCs w:val="36"/>
          <w:highlight w:val="none"/>
          <w:lang w:val="en-US" w:eastAsia="zh-CN"/>
        </w:rPr>
        <w:t>广州市花都区积分制入学分值表</w:t>
      </w:r>
      <w:bookmarkEnd w:id="0"/>
    </w:p>
    <w:tbl>
      <w:tblPr>
        <w:tblStyle w:val="29"/>
        <w:tblW w:w="962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78"/>
        <w:gridCol w:w="468"/>
        <w:gridCol w:w="1346"/>
        <w:gridCol w:w="4387"/>
        <w:gridCol w:w="2845"/>
      </w:tblGrid>
      <w:tr w14:paraId="4DC707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5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7B43B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类别</w:t>
            </w:r>
          </w:p>
        </w:tc>
        <w:tc>
          <w:tcPr>
            <w:tcW w:w="46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C21648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序号</w:t>
            </w:r>
          </w:p>
        </w:tc>
        <w:tc>
          <w:tcPr>
            <w:tcW w:w="134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237E95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指标</w:t>
            </w:r>
          </w:p>
        </w:tc>
        <w:tc>
          <w:tcPr>
            <w:tcW w:w="438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D67058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指标内容及分值</w:t>
            </w:r>
          </w:p>
        </w:tc>
        <w:tc>
          <w:tcPr>
            <w:tcW w:w="284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40F842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0" w:firstLineChars="0"/>
              <w:jc w:val="center"/>
              <w:textAlignment w:val="auto"/>
              <w:rPr>
                <w:rFonts w:hint="default" w:ascii="Times New Roman" w:hAnsi="Times New Roman" w:eastAsia="黑体" w:cs="Times New Roman"/>
                <w:color w:val="auto"/>
                <w:sz w:val="18"/>
                <w:szCs w:val="18"/>
                <w:highlight w:val="none"/>
              </w:rPr>
            </w:pPr>
            <w:r>
              <w:rPr>
                <w:rFonts w:hint="default" w:ascii="Times New Roman" w:hAnsi="Times New Roman" w:eastAsia="黑体" w:cs="Times New Roman"/>
                <w:color w:val="auto"/>
                <w:sz w:val="18"/>
                <w:szCs w:val="18"/>
                <w:highlight w:val="none"/>
              </w:rPr>
              <w:t>备注</w:t>
            </w:r>
          </w:p>
        </w:tc>
      </w:tr>
      <w:tr w14:paraId="31380F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BA524D1">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基础指标</w:t>
            </w:r>
          </w:p>
        </w:tc>
        <w:tc>
          <w:tcPr>
            <w:tcW w:w="468" w:type="dxa"/>
            <w:tcBorders>
              <w:top w:val="nil"/>
              <w:left w:val="nil"/>
              <w:bottom w:val="single" w:color="auto" w:sz="8" w:space="0"/>
              <w:right w:val="single" w:color="auto" w:sz="8" w:space="0"/>
            </w:tcBorders>
            <w:noWrap w:val="0"/>
            <w:tcMar>
              <w:left w:w="108" w:type="dxa"/>
              <w:right w:w="108" w:type="dxa"/>
            </w:tcMar>
            <w:vAlign w:val="center"/>
          </w:tcPr>
          <w:p w14:paraId="764C46C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w:t>
            </w:r>
          </w:p>
        </w:tc>
        <w:tc>
          <w:tcPr>
            <w:tcW w:w="1346" w:type="dxa"/>
            <w:tcBorders>
              <w:top w:val="nil"/>
              <w:left w:val="nil"/>
              <w:bottom w:val="single" w:color="auto" w:sz="8" w:space="0"/>
              <w:right w:val="single" w:color="auto" w:sz="8" w:space="0"/>
            </w:tcBorders>
            <w:noWrap w:val="0"/>
            <w:tcMar>
              <w:left w:w="108" w:type="dxa"/>
              <w:right w:w="108" w:type="dxa"/>
            </w:tcMar>
            <w:vAlign w:val="center"/>
          </w:tcPr>
          <w:p w14:paraId="3AAE376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合法稳定住所</w:t>
            </w:r>
          </w:p>
        </w:tc>
        <w:tc>
          <w:tcPr>
            <w:tcW w:w="4387" w:type="dxa"/>
            <w:tcBorders>
              <w:top w:val="nil"/>
              <w:left w:val="nil"/>
              <w:bottom w:val="single" w:color="auto" w:sz="8" w:space="0"/>
              <w:right w:val="single" w:color="auto" w:sz="8" w:space="0"/>
            </w:tcBorders>
            <w:noWrap w:val="0"/>
            <w:tcMar>
              <w:left w:w="108" w:type="dxa"/>
              <w:right w:w="108" w:type="dxa"/>
            </w:tcMar>
            <w:vAlign w:val="center"/>
          </w:tcPr>
          <w:p w14:paraId="17D3CAA7">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在广州市办理《广东省居住证》，每满1年计8分；</w:t>
            </w:r>
          </w:p>
          <w:p w14:paraId="18BEF43B">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在广州市累积居住年限：</w:t>
            </w:r>
          </w:p>
          <w:p w14:paraId="36320F0B">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（1）合法产权住所（20分）；</w:t>
            </w:r>
          </w:p>
          <w:p w14:paraId="2A6E88B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（2）合法租赁住所或单位宿舍，每满1年计5分，最高不超过20分。</w:t>
            </w:r>
          </w:p>
          <w:p w14:paraId="166AE80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w:t>
            </w:r>
            <w:r>
              <w:rPr>
                <w:rFonts w:hint="default" w:ascii="Times New Roman" w:hAnsi="Times New Roman" w:eastAsia="仿宋_GB2312" w:cs="Times New Roman"/>
                <w:color w:val="auto"/>
                <w:sz w:val="18"/>
                <w:szCs w:val="18"/>
                <w:highlight w:val="none"/>
                <w:lang w:val="en-US" w:eastAsia="zh-CN"/>
              </w:rPr>
              <w:t xml:space="preserve">. </w:t>
            </w:r>
            <w:r>
              <w:rPr>
                <w:rFonts w:hint="default" w:ascii="Times New Roman" w:hAnsi="Times New Roman" w:eastAsia="仿宋_GB2312" w:cs="Times New Roman"/>
                <w:color w:val="auto"/>
                <w:sz w:val="18"/>
                <w:szCs w:val="18"/>
                <w:highlight w:val="none"/>
              </w:rPr>
              <w:t>申请人居住地由越秀区、海珠区、荔湾区、天河区转移到本市其他行政区的，每满1年计2分，最高不超过10分。</w:t>
            </w:r>
          </w:p>
        </w:tc>
        <w:tc>
          <w:tcPr>
            <w:tcW w:w="2845" w:type="dxa"/>
            <w:tcBorders>
              <w:top w:val="nil"/>
              <w:left w:val="nil"/>
              <w:bottom w:val="single" w:color="auto" w:sz="8" w:space="0"/>
              <w:right w:val="single" w:color="auto" w:sz="8" w:space="0"/>
            </w:tcBorders>
            <w:noWrap w:val="0"/>
            <w:tcMar>
              <w:left w:w="108" w:type="dxa"/>
              <w:right w:w="108" w:type="dxa"/>
            </w:tcMar>
            <w:vAlign w:val="center"/>
          </w:tcPr>
          <w:p w14:paraId="6923624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既有合法产权住房、又有合法租赁住房的，由申请人选择其中一项计分。</w:t>
            </w:r>
          </w:p>
        </w:tc>
      </w:tr>
      <w:tr w14:paraId="7DF7E8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9890D8B">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8" w:space="0"/>
              <w:right w:val="single" w:color="auto" w:sz="8" w:space="0"/>
            </w:tcBorders>
            <w:noWrap w:val="0"/>
            <w:tcMar>
              <w:left w:w="108" w:type="dxa"/>
              <w:right w:w="108" w:type="dxa"/>
            </w:tcMar>
            <w:vAlign w:val="center"/>
          </w:tcPr>
          <w:p w14:paraId="11E36228">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w:t>
            </w:r>
          </w:p>
        </w:tc>
        <w:tc>
          <w:tcPr>
            <w:tcW w:w="1346" w:type="dxa"/>
            <w:tcBorders>
              <w:top w:val="nil"/>
              <w:left w:val="nil"/>
              <w:bottom w:val="single" w:color="auto" w:sz="8" w:space="0"/>
              <w:right w:val="single" w:color="auto" w:sz="8" w:space="0"/>
            </w:tcBorders>
            <w:noWrap w:val="0"/>
            <w:tcMar>
              <w:left w:w="108" w:type="dxa"/>
              <w:right w:w="108" w:type="dxa"/>
            </w:tcMar>
            <w:vAlign w:val="center"/>
          </w:tcPr>
          <w:p w14:paraId="39A604D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合法稳定就业</w:t>
            </w:r>
          </w:p>
        </w:tc>
        <w:tc>
          <w:tcPr>
            <w:tcW w:w="4387" w:type="dxa"/>
            <w:tcBorders>
              <w:top w:val="nil"/>
              <w:left w:val="nil"/>
              <w:bottom w:val="single" w:color="auto" w:sz="8" w:space="0"/>
              <w:right w:val="single" w:color="auto" w:sz="8" w:space="0"/>
            </w:tcBorders>
            <w:noWrap w:val="0"/>
            <w:tcMar>
              <w:left w:w="108" w:type="dxa"/>
              <w:right w:w="108" w:type="dxa"/>
            </w:tcMar>
            <w:vAlign w:val="center"/>
          </w:tcPr>
          <w:p w14:paraId="2A1D49B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在广州市就业（创业）并参加城镇基本养老保险、社会医疗保险（含职工社会医疗保险及城乡居民医疗保险）、失业保险、工伤保险、生育保险，每个险种每满1年计2分。在广州市就业（创业）并缴纳住房公积金，每满1年计2分。</w:t>
            </w:r>
          </w:p>
        </w:tc>
        <w:tc>
          <w:tcPr>
            <w:tcW w:w="2845" w:type="dxa"/>
            <w:tcBorders>
              <w:top w:val="nil"/>
              <w:left w:val="nil"/>
              <w:bottom w:val="single" w:color="auto" w:sz="8" w:space="0"/>
              <w:right w:val="single" w:color="auto" w:sz="8" w:space="0"/>
            </w:tcBorders>
            <w:noWrap w:val="0"/>
            <w:tcMar>
              <w:left w:w="108" w:type="dxa"/>
              <w:right w:w="108" w:type="dxa"/>
            </w:tcMar>
            <w:vAlign w:val="center"/>
          </w:tcPr>
          <w:p w14:paraId="1FF49FB1">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失业保险基金代缴的职工社会医疗保险缴费年限及外来工医保年限纳入医保累计缴费时间。外地转入社保、补缴社保不计算年限，重复参保期间不重复计算年限。异地转入住房公积金、补缴住房公积金不计算年限。</w:t>
            </w:r>
          </w:p>
        </w:tc>
      </w:tr>
      <w:tr w14:paraId="3A46FC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67" w:hRule="atLeast"/>
          <w:jc w:val="center"/>
        </w:trPr>
        <w:tc>
          <w:tcPr>
            <w:tcW w:w="57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7EB66DD">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8" w:space="0"/>
              <w:right w:val="single" w:color="auto" w:sz="8" w:space="0"/>
            </w:tcBorders>
            <w:noWrap w:val="0"/>
            <w:tcMar>
              <w:left w:w="108" w:type="dxa"/>
              <w:right w:w="108" w:type="dxa"/>
            </w:tcMar>
            <w:vAlign w:val="center"/>
          </w:tcPr>
          <w:p w14:paraId="47A0CB0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w:t>
            </w:r>
          </w:p>
        </w:tc>
        <w:tc>
          <w:tcPr>
            <w:tcW w:w="1346" w:type="dxa"/>
            <w:tcBorders>
              <w:top w:val="nil"/>
              <w:left w:val="nil"/>
              <w:bottom w:val="single" w:color="auto" w:sz="8" w:space="0"/>
              <w:right w:val="single" w:color="auto" w:sz="8" w:space="0"/>
            </w:tcBorders>
            <w:noWrap w:val="0"/>
            <w:tcMar>
              <w:left w:w="108" w:type="dxa"/>
              <w:right w:w="108" w:type="dxa"/>
            </w:tcMar>
            <w:vAlign w:val="center"/>
          </w:tcPr>
          <w:p w14:paraId="5136997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年龄</w:t>
            </w:r>
          </w:p>
        </w:tc>
        <w:tc>
          <w:tcPr>
            <w:tcW w:w="4387" w:type="dxa"/>
            <w:tcBorders>
              <w:top w:val="nil"/>
              <w:left w:val="nil"/>
              <w:bottom w:val="single" w:color="auto" w:sz="8" w:space="0"/>
              <w:right w:val="single" w:color="auto" w:sz="8" w:space="0"/>
            </w:tcBorders>
            <w:noWrap w:val="0"/>
            <w:tcMar>
              <w:left w:w="108" w:type="dxa"/>
              <w:right w:w="108" w:type="dxa"/>
            </w:tcMar>
            <w:vAlign w:val="center"/>
          </w:tcPr>
          <w:p w14:paraId="4EDF1308">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18—40周岁（含40周岁）（30分）；</w:t>
            </w:r>
          </w:p>
          <w:p w14:paraId="0B17C5E5">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2.40周岁以上的，每增加一岁（含不满一岁）少加2分</w:t>
            </w:r>
            <w:r>
              <w:rPr>
                <w:rFonts w:hint="default" w:ascii="Times New Roman" w:hAnsi="Times New Roman" w:eastAsia="仿宋_GB2312" w:cs="Times New Roman"/>
                <w:color w:val="auto"/>
                <w:sz w:val="18"/>
                <w:szCs w:val="18"/>
                <w:highlight w:val="none"/>
              </w:rPr>
              <w:t>。</w:t>
            </w:r>
          </w:p>
        </w:tc>
        <w:tc>
          <w:tcPr>
            <w:tcW w:w="2845" w:type="dxa"/>
            <w:tcBorders>
              <w:top w:val="nil"/>
              <w:left w:val="nil"/>
              <w:bottom w:val="single" w:color="auto" w:sz="8" w:space="0"/>
              <w:right w:val="single" w:color="auto" w:sz="8" w:space="0"/>
            </w:tcBorders>
            <w:noWrap w:val="0"/>
            <w:tcMar>
              <w:left w:w="108" w:type="dxa"/>
              <w:right w:w="108" w:type="dxa"/>
            </w:tcMar>
            <w:vAlign w:val="center"/>
          </w:tcPr>
          <w:p w14:paraId="54C6F1E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动态调整，最低为0分。</w:t>
            </w:r>
          </w:p>
        </w:tc>
      </w:tr>
      <w:tr w14:paraId="48B91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2" w:hRule="atLeast"/>
          <w:jc w:val="center"/>
        </w:trPr>
        <w:tc>
          <w:tcPr>
            <w:tcW w:w="578" w:type="dxa"/>
            <w:vMerge w:val="restart"/>
            <w:tcBorders>
              <w:top w:val="nil"/>
              <w:left w:val="single" w:color="auto" w:sz="4" w:space="0"/>
              <w:right w:val="single" w:color="auto" w:sz="8" w:space="0"/>
            </w:tcBorders>
            <w:noWrap w:val="0"/>
            <w:tcMar>
              <w:left w:w="108" w:type="dxa"/>
              <w:right w:w="108" w:type="dxa"/>
            </w:tcMar>
            <w:vAlign w:val="center"/>
          </w:tcPr>
          <w:p w14:paraId="55606EFA">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6C6D07F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2F13A18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4FCB97A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17A3669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43149871">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5A9BBEA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32BE896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3FB58BC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21878EE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rPr>
            </w:pPr>
          </w:p>
          <w:p w14:paraId="7454981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rPr>
              <w:t>加分</w:t>
            </w:r>
            <w:r>
              <w:rPr>
                <w:rFonts w:hint="eastAsia" w:ascii="Times New Roman" w:hAnsi="Times New Roman" w:eastAsia="仿宋_GB2312" w:cs="Times New Roman"/>
                <w:color w:val="auto"/>
                <w:sz w:val="18"/>
                <w:szCs w:val="18"/>
                <w:highlight w:val="none"/>
                <w:lang w:eastAsia="zh-CN"/>
              </w:rPr>
              <w:t>指标</w:t>
            </w:r>
          </w:p>
          <w:p w14:paraId="45B1112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53367154">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6D0AA0F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0A9781D4">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74070E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61931DC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49C9A550">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373E358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210B09E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64CADB8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0F07982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429033E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0E86D75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216C7AC0">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3C23D9C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0C70E57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794B6A6A">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57932000">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72DB4ACD">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AA60A8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027925C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45DF4A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2C9DBBA">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6466A5F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A29C910">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11F41F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21E8629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528DFE4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6F0B900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3758FB8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6DED65B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139BD4AD">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482459D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p w14:paraId="767E06F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r>
              <w:rPr>
                <w:rFonts w:hint="eastAsia" w:ascii="Times New Roman" w:hAnsi="Times New Roman" w:eastAsia="仿宋_GB2312" w:cs="Times New Roman"/>
                <w:color w:val="auto"/>
                <w:sz w:val="18"/>
                <w:szCs w:val="18"/>
                <w:highlight w:val="none"/>
                <w:lang w:eastAsia="zh-CN"/>
              </w:rPr>
              <w:t>加分指标</w:t>
            </w:r>
          </w:p>
        </w:tc>
        <w:tc>
          <w:tcPr>
            <w:tcW w:w="468" w:type="dxa"/>
            <w:tcBorders>
              <w:top w:val="nil"/>
              <w:left w:val="nil"/>
              <w:bottom w:val="single" w:color="auto" w:sz="4" w:space="0"/>
              <w:right w:val="single" w:color="auto" w:sz="8" w:space="0"/>
            </w:tcBorders>
            <w:noWrap w:val="0"/>
            <w:tcMar>
              <w:left w:w="108" w:type="dxa"/>
              <w:right w:w="108" w:type="dxa"/>
            </w:tcMar>
            <w:vAlign w:val="center"/>
          </w:tcPr>
          <w:p w14:paraId="7A05687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w:t>
            </w:r>
          </w:p>
        </w:tc>
        <w:tc>
          <w:tcPr>
            <w:tcW w:w="1346" w:type="dxa"/>
            <w:tcBorders>
              <w:top w:val="nil"/>
              <w:left w:val="nil"/>
              <w:bottom w:val="single" w:color="auto" w:sz="4" w:space="0"/>
              <w:right w:val="single" w:color="auto" w:sz="8" w:space="0"/>
            </w:tcBorders>
            <w:noWrap w:val="0"/>
            <w:tcMar>
              <w:left w:w="108" w:type="dxa"/>
              <w:right w:w="108" w:type="dxa"/>
            </w:tcMar>
            <w:vAlign w:val="center"/>
          </w:tcPr>
          <w:p w14:paraId="751AC3B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文化程度</w:t>
            </w:r>
          </w:p>
        </w:tc>
        <w:tc>
          <w:tcPr>
            <w:tcW w:w="4387" w:type="dxa"/>
            <w:tcBorders>
              <w:top w:val="nil"/>
              <w:left w:val="nil"/>
              <w:bottom w:val="single" w:color="auto" w:sz="4" w:space="0"/>
              <w:right w:val="single" w:color="auto" w:sz="8" w:space="0"/>
            </w:tcBorders>
            <w:noWrap w:val="0"/>
            <w:tcMar>
              <w:left w:w="108" w:type="dxa"/>
              <w:right w:w="108" w:type="dxa"/>
            </w:tcMar>
            <w:vAlign w:val="center"/>
          </w:tcPr>
          <w:p w14:paraId="3749DC85">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本科及以上学历（30分）；</w:t>
            </w:r>
          </w:p>
          <w:p w14:paraId="5C384C68">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专科（含高职）（20分）；</w:t>
            </w:r>
          </w:p>
          <w:p w14:paraId="075D7AF0">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高中（含中职）（10分）。</w:t>
            </w:r>
          </w:p>
        </w:tc>
        <w:tc>
          <w:tcPr>
            <w:tcW w:w="2845" w:type="dxa"/>
            <w:tcBorders>
              <w:top w:val="nil"/>
              <w:left w:val="nil"/>
              <w:bottom w:val="single" w:color="auto" w:sz="4" w:space="0"/>
              <w:right w:val="single" w:color="auto" w:sz="8" w:space="0"/>
            </w:tcBorders>
            <w:noWrap w:val="0"/>
            <w:tcMar>
              <w:left w:w="108" w:type="dxa"/>
              <w:right w:w="108" w:type="dxa"/>
            </w:tcMar>
            <w:vAlign w:val="center"/>
          </w:tcPr>
          <w:p w14:paraId="4F9488DB">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只取最高分，不累计计分。高中以下学历不计分。</w:t>
            </w:r>
          </w:p>
        </w:tc>
      </w:tr>
      <w:tr w14:paraId="1BB0D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14:paraId="136A1A4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p>
        </w:tc>
        <w:tc>
          <w:tcPr>
            <w:tcW w:w="46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89EF86">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w:t>
            </w:r>
          </w:p>
        </w:tc>
        <w:tc>
          <w:tcPr>
            <w:tcW w:w="13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D9C07B">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技术能力</w:t>
            </w:r>
          </w:p>
        </w:tc>
        <w:tc>
          <w:tcPr>
            <w:tcW w:w="43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309341">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中级及以上职称或技师及以上职业资格（20分）；</w:t>
            </w:r>
          </w:p>
          <w:p w14:paraId="13E1A75B">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初级职称、职业资格为高级、事业单位工勤技术三级（10分）；</w:t>
            </w:r>
          </w:p>
          <w:p w14:paraId="1A7E63EC">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职业资格中级、事业单位工勤技术四级（5分）；</w:t>
            </w:r>
          </w:p>
          <w:p w14:paraId="3898FFD5">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default" w:ascii="Times New Roman" w:hAnsi="Times New Roman" w:eastAsia="仿宋_GB2312" w:cs="Times New Roman"/>
                <w:color w:val="auto"/>
                <w:sz w:val="18"/>
                <w:szCs w:val="18"/>
                <w:highlight w:val="none"/>
              </w:rPr>
              <w:t>正在从事与上述专业技术资格证书、职业资格证书相对</w:t>
            </w:r>
            <w:r>
              <w:rPr>
                <w:rFonts w:hint="eastAsia" w:ascii="Times New Roman" w:hAnsi="Times New Roman" w:eastAsia="仿宋_GB2312" w:cs="Times New Roman"/>
                <w:color w:val="auto"/>
                <w:sz w:val="18"/>
                <w:szCs w:val="18"/>
                <w:highlight w:val="none"/>
                <w:lang w:eastAsia="zh-CN"/>
              </w:rPr>
              <w:t>应的</w:t>
            </w:r>
            <w:r>
              <w:rPr>
                <w:rFonts w:hint="default" w:ascii="Times New Roman" w:hAnsi="Times New Roman" w:eastAsia="仿宋_GB2312" w:cs="Times New Roman"/>
                <w:color w:val="auto"/>
                <w:sz w:val="18"/>
                <w:szCs w:val="18"/>
                <w:highlight w:val="none"/>
              </w:rPr>
              <w:t>职业工种工作（5分）。</w:t>
            </w:r>
          </w:p>
        </w:tc>
        <w:tc>
          <w:tcPr>
            <w:tcW w:w="28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99F95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职业资格包括职业技能等级，是指获得国家、广东省、广州市人力资源和社会保障部</w:t>
            </w:r>
            <w:r>
              <w:rPr>
                <w:rFonts w:hint="default" w:ascii="Times New Roman" w:hAnsi="Times New Roman" w:eastAsia="仿宋_GB2312" w:cs="Times New Roman"/>
                <w:b w:val="0"/>
                <w:bCs w:val="0"/>
                <w:color w:val="auto"/>
                <w:sz w:val="18"/>
                <w:szCs w:val="18"/>
                <w:highlight w:val="none"/>
              </w:rPr>
              <w:t>门</w:t>
            </w:r>
            <w:r>
              <w:rPr>
                <w:rFonts w:hint="eastAsia" w:ascii="Times New Roman" w:hAnsi="Times New Roman" w:eastAsia="仿宋_GB2312" w:cs="Times New Roman"/>
                <w:b w:val="0"/>
                <w:bCs w:val="0"/>
                <w:color w:val="auto"/>
                <w:sz w:val="18"/>
                <w:szCs w:val="18"/>
                <w:highlight w:val="none"/>
                <w:lang w:val="en-US" w:eastAsia="zh-CN"/>
              </w:rPr>
              <w:t>认可</w:t>
            </w:r>
            <w:r>
              <w:rPr>
                <w:rFonts w:hint="default" w:ascii="Times New Roman" w:hAnsi="Times New Roman" w:eastAsia="仿宋_GB2312" w:cs="Times New Roman"/>
                <w:b w:val="0"/>
                <w:bCs w:val="0"/>
                <w:color w:val="auto"/>
                <w:sz w:val="18"/>
                <w:szCs w:val="18"/>
                <w:highlight w:val="none"/>
              </w:rPr>
              <w:t>的</w:t>
            </w:r>
            <w:r>
              <w:rPr>
                <w:rFonts w:hint="default" w:ascii="Times New Roman" w:hAnsi="Times New Roman" w:eastAsia="仿宋_GB2312" w:cs="Times New Roman"/>
                <w:color w:val="auto"/>
                <w:sz w:val="18"/>
                <w:szCs w:val="18"/>
                <w:highlight w:val="none"/>
              </w:rPr>
              <w:t>国家职业资格。只取最高分，不累计计分。</w:t>
            </w:r>
          </w:p>
        </w:tc>
      </w:tr>
      <w:tr w14:paraId="13CD44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70"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14:paraId="5F41C51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default" w:ascii="Times New Roman" w:hAnsi="Times New Roman" w:eastAsia="仿宋_GB2312" w:cs="Times New Roman"/>
                <w:color w:val="auto"/>
                <w:sz w:val="18"/>
                <w:szCs w:val="18"/>
                <w:highlight w:val="none"/>
                <w:lang w:eastAsia="zh-CN"/>
              </w:rPr>
            </w:pPr>
          </w:p>
        </w:tc>
        <w:tc>
          <w:tcPr>
            <w:tcW w:w="468" w:type="dxa"/>
            <w:tcBorders>
              <w:top w:val="single" w:color="auto" w:sz="4" w:space="0"/>
              <w:left w:val="nil"/>
              <w:bottom w:val="single" w:color="auto" w:sz="8" w:space="0"/>
              <w:right w:val="single" w:color="auto" w:sz="8" w:space="0"/>
            </w:tcBorders>
            <w:noWrap w:val="0"/>
            <w:tcMar>
              <w:left w:w="108" w:type="dxa"/>
              <w:right w:w="108" w:type="dxa"/>
            </w:tcMar>
            <w:vAlign w:val="center"/>
          </w:tcPr>
          <w:p w14:paraId="488BE254">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w:t>
            </w:r>
          </w:p>
        </w:tc>
        <w:tc>
          <w:tcPr>
            <w:tcW w:w="1346" w:type="dxa"/>
            <w:tcBorders>
              <w:top w:val="single" w:color="auto" w:sz="4" w:space="0"/>
              <w:left w:val="nil"/>
              <w:bottom w:val="single" w:color="auto" w:sz="8" w:space="0"/>
              <w:right w:val="single" w:color="auto" w:sz="8" w:space="0"/>
            </w:tcBorders>
            <w:noWrap w:val="0"/>
            <w:tcMar>
              <w:left w:w="108" w:type="dxa"/>
              <w:right w:w="108" w:type="dxa"/>
            </w:tcMar>
            <w:vAlign w:val="center"/>
          </w:tcPr>
          <w:p w14:paraId="76E8838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创新能力</w:t>
            </w:r>
          </w:p>
        </w:tc>
        <w:tc>
          <w:tcPr>
            <w:tcW w:w="4387" w:type="dxa"/>
            <w:tcBorders>
              <w:top w:val="single" w:color="auto" w:sz="4" w:space="0"/>
              <w:left w:val="nil"/>
              <w:bottom w:val="single" w:color="auto" w:sz="8" w:space="0"/>
              <w:right w:val="single" w:color="auto" w:sz="8" w:space="0"/>
            </w:tcBorders>
            <w:noWrap w:val="0"/>
            <w:tcMar>
              <w:left w:w="108" w:type="dxa"/>
              <w:right w:w="108" w:type="dxa"/>
            </w:tcMar>
            <w:vAlign w:val="center"/>
          </w:tcPr>
          <w:p w14:paraId="2238D3E7">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近5年获得授权的有效专利且授权时的地址为广州市辖区的专利发明人或者设计人，按以下标准给予计分：</w:t>
            </w:r>
          </w:p>
          <w:p w14:paraId="07B67F6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属发明专利的，每项专利按20/（人数）计算。最高不超过40分。</w:t>
            </w:r>
          </w:p>
          <w:p w14:paraId="07A2963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属实用新型专利的，每项专利按10/（人数）计算。最高不超过20分。</w:t>
            </w:r>
          </w:p>
          <w:p w14:paraId="1B240C5B">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在广州市高新技术企业、新型研发机构从事技术创新和研发的申请人，工作每满1年计2分，最高不超过10分。</w:t>
            </w:r>
          </w:p>
        </w:tc>
        <w:tc>
          <w:tcPr>
            <w:tcW w:w="2845" w:type="dxa"/>
            <w:tcBorders>
              <w:top w:val="single" w:color="auto" w:sz="4" w:space="0"/>
              <w:left w:val="nil"/>
              <w:bottom w:val="single" w:color="auto" w:sz="8" w:space="0"/>
              <w:right w:val="single" w:color="auto" w:sz="8" w:space="0"/>
            </w:tcBorders>
            <w:noWrap w:val="0"/>
            <w:tcMar>
              <w:left w:w="108" w:type="dxa"/>
              <w:right w:w="108" w:type="dxa"/>
            </w:tcMar>
            <w:vAlign w:val="center"/>
          </w:tcPr>
          <w:p w14:paraId="1F8EF0F5">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专利授权后，专利发明人或设计人发生变更的，不予积分；专利地址变更到非广州市辖区内的，不予积分。对同时满足1和2两项条件的，可以累计计分。</w:t>
            </w:r>
          </w:p>
        </w:tc>
      </w:tr>
      <w:tr w14:paraId="5B13AB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05"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14:paraId="72ED226E">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8" w:space="0"/>
              <w:right w:val="single" w:color="auto" w:sz="8" w:space="0"/>
            </w:tcBorders>
            <w:noWrap w:val="0"/>
            <w:tcMar>
              <w:left w:w="108" w:type="dxa"/>
              <w:right w:w="108" w:type="dxa"/>
            </w:tcMar>
            <w:vAlign w:val="center"/>
          </w:tcPr>
          <w:p w14:paraId="06635EFD">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4</w:t>
            </w:r>
          </w:p>
        </w:tc>
        <w:tc>
          <w:tcPr>
            <w:tcW w:w="1346" w:type="dxa"/>
            <w:tcBorders>
              <w:top w:val="nil"/>
              <w:left w:val="nil"/>
              <w:bottom w:val="single" w:color="auto" w:sz="8" w:space="0"/>
              <w:right w:val="single" w:color="auto" w:sz="8" w:space="0"/>
            </w:tcBorders>
            <w:noWrap w:val="0"/>
            <w:tcMar>
              <w:left w:w="108" w:type="dxa"/>
              <w:right w:w="108" w:type="dxa"/>
            </w:tcMar>
            <w:vAlign w:val="center"/>
          </w:tcPr>
          <w:p w14:paraId="3A511A28">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急需工种或职业资格（职业技能等级）、服务行业</w:t>
            </w:r>
          </w:p>
        </w:tc>
        <w:tc>
          <w:tcPr>
            <w:tcW w:w="4387" w:type="dxa"/>
            <w:tcBorders>
              <w:top w:val="nil"/>
              <w:left w:val="nil"/>
              <w:bottom w:val="single" w:color="auto" w:sz="8" w:space="0"/>
              <w:right w:val="single" w:color="auto" w:sz="8" w:space="0"/>
            </w:tcBorders>
            <w:noWrap w:val="0"/>
            <w:tcMar>
              <w:left w:w="108" w:type="dxa"/>
              <w:right w:w="108" w:type="dxa"/>
            </w:tcMar>
            <w:vAlign w:val="center"/>
          </w:tcPr>
          <w:p w14:paraId="22A38FFB">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职业工种或职业资格符合当年广州市积分急需工种或职业资格目录（10分）；</w:t>
            </w:r>
          </w:p>
          <w:p w14:paraId="599E22B2">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现正从事特殊艰苦行业一线人员（10分）。工作每满1年再加计5分，最高再加分不超过20分。</w:t>
            </w:r>
          </w:p>
        </w:tc>
        <w:tc>
          <w:tcPr>
            <w:tcW w:w="2845" w:type="dxa"/>
            <w:tcBorders>
              <w:top w:val="nil"/>
              <w:left w:val="nil"/>
              <w:bottom w:val="single" w:color="auto" w:sz="8" w:space="0"/>
              <w:right w:val="single" w:color="auto" w:sz="8" w:space="0"/>
            </w:tcBorders>
            <w:noWrap w:val="0"/>
            <w:tcMar>
              <w:left w:w="108" w:type="dxa"/>
              <w:right w:w="108" w:type="dxa"/>
            </w:tcMar>
            <w:vAlign w:val="center"/>
          </w:tcPr>
          <w:p w14:paraId="24C2F87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 xml:space="preserve"> </w:t>
            </w:r>
          </w:p>
        </w:tc>
      </w:tr>
      <w:tr w14:paraId="40D41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45"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14:paraId="11104AC2">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nil"/>
              <w:left w:val="nil"/>
              <w:bottom w:val="single" w:color="auto" w:sz="4" w:space="0"/>
              <w:right w:val="single" w:color="auto" w:sz="8" w:space="0"/>
            </w:tcBorders>
            <w:noWrap w:val="0"/>
            <w:tcMar>
              <w:left w:w="108" w:type="dxa"/>
              <w:right w:w="108" w:type="dxa"/>
            </w:tcMar>
            <w:vAlign w:val="center"/>
          </w:tcPr>
          <w:p w14:paraId="5AAB71A7">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5</w:t>
            </w:r>
          </w:p>
        </w:tc>
        <w:tc>
          <w:tcPr>
            <w:tcW w:w="1346" w:type="dxa"/>
            <w:tcBorders>
              <w:top w:val="nil"/>
              <w:left w:val="nil"/>
              <w:bottom w:val="single" w:color="auto" w:sz="4" w:space="0"/>
              <w:right w:val="single" w:color="auto" w:sz="8" w:space="0"/>
            </w:tcBorders>
            <w:noWrap w:val="0"/>
            <w:tcMar>
              <w:left w:w="108" w:type="dxa"/>
              <w:right w:w="108" w:type="dxa"/>
            </w:tcMar>
            <w:vAlign w:val="center"/>
          </w:tcPr>
          <w:p w14:paraId="5649897B">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社会服务和公益</w:t>
            </w:r>
          </w:p>
        </w:tc>
        <w:tc>
          <w:tcPr>
            <w:tcW w:w="4387" w:type="dxa"/>
            <w:tcBorders>
              <w:top w:val="nil"/>
              <w:left w:val="nil"/>
              <w:bottom w:val="single" w:color="auto" w:sz="4" w:space="0"/>
              <w:right w:val="single" w:color="auto" w:sz="8" w:space="0"/>
            </w:tcBorders>
            <w:noWrap w:val="0"/>
            <w:tcMar>
              <w:left w:w="108" w:type="dxa"/>
              <w:right w:w="108" w:type="dxa"/>
            </w:tcMar>
            <w:vAlign w:val="center"/>
          </w:tcPr>
          <w:p w14:paraId="43924D45">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近5年内，参加献血（每次计2分），单项累计最高不超过10分。</w:t>
            </w:r>
          </w:p>
          <w:p w14:paraId="535E3119">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近5年内，参加志愿者（义工）服务（每满50小时计2分）。1年内计分不超过2分，单项累计最高不超过10分。</w:t>
            </w:r>
          </w:p>
        </w:tc>
        <w:tc>
          <w:tcPr>
            <w:tcW w:w="2845" w:type="dxa"/>
            <w:tcBorders>
              <w:top w:val="nil"/>
              <w:left w:val="nil"/>
              <w:bottom w:val="single" w:color="auto" w:sz="4" w:space="0"/>
              <w:right w:val="single" w:color="auto" w:sz="8" w:space="0"/>
            </w:tcBorders>
            <w:noWrap w:val="0"/>
            <w:tcMar>
              <w:left w:w="108" w:type="dxa"/>
              <w:right w:w="108" w:type="dxa"/>
            </w:tcMar>
            <w:vAlign w:val="center"/>
          </w:tcPr>
          <w:p w14:paraId="318B9813">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lang w:eastAsia="zh-CN"/>
              </w:rPr>
            </w:pPr>
            <w:r>
              <w:rPr>
                <w:rFonts w:hint="default" w:ascii="Times New Roman" w:hAnsi="Times New Roman" w:eastAsia="仿宋_GB2312" w:cs="Times New Roman"/>
                <w:color w:val="auto"/>
                <w:sz w:val="18"/>
                <w:szCs w:val="18"/>
                <w:highlight w:val="none"/>
                <w:lang w:eastAsia="zh-CN"/>
              </w:rPr>
              <w:t xml:space="preserve"> </w:t>
            </w:r>
          </w:p>
        </w:tc>
      </w:tr>
      <w:tr w14:paraId="127C59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5"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14:paraId="0BB4DBDF">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default" w:ascii="Times New Roman" w:hAnsi="Times New Roman" w:eastAsia="仿宋_GB2312" w:cs="Times New Roman"/>
                <w:color w:val="auto"/>
                <w:sz w:val="18"/>
                <w:szCs w:val="18"/>
                <w:highlight w:val="none"/>
              </w:rPr>
            </w:pPr>
          </w:p>
        </w:tc>
        <w:tc>
          <w:tcPr>
            <w:tcW w:w="46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D6E6E2">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6</w:t>
            </w:r>
          </w:p>
        </w:tc>
        <w:tc>
          <w:tcPr>
            <w:tcW w:w="134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8B4A90">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纳税情况</w:t>
            </w:r>
          </w:p>
        </w:tc>
        <w:tc>
          <w:tcPr>
            <w:tcW w:w="438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E81F9C">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leftChars="0"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对普通劳动者，申报缴纳个人所得税：</w:t>
            </w:r>
          </w:p>
          <w:p w14:paraId="4111FD39">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leftChars="0" w:right="0" w:rightChars="0"/>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（1）近3个纳税年度累计在广州市缴纳个人所得税：1</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3万元（含1万元，不含3万元）（4分）；3</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6万元（含3万元，不含6万元）（8分）；6万元以上（含6万元）（12分）。</w:t>
            </w:r>
          </w:p>
          <w:p w14:paraId="08C6AA38">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2</w:t>
            </w:r>
            <w:r>
              <w:rPr>
                <w:rFonts w:hint="eastAsia"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近3个纳税年度连续每1年均在广州市申报缴纳综合所得（包括工资薪金所得、劳务报酬所得、稿酬所得，特许权使用费所得）或者经营所得的个人所得税（4分）。</w:t>
            </w:r>
          </w:p>
          <w:p w14:paraId="23CCA3A8">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（3）近1个纳税年度按规定办理个人所得税年度汇算清缴申报（含清缴税款）（2分）。</w:t>
            </w:r>
          </w:p>
          <w:p w14:paraId="321FC828">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所投资创办的企业，近3个纳税年度累积在广州市纳税：</w:t>
            </w:r>
          </w:p>
          <w:p w14:paraId="69DB735C">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（1）5</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10万元（含5万元，不含10万元）（4分）；</w:t>
            </w:r>
          </w:p>
          <w:p w14:paraId="13E68AC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（2）10</w:t>
            </w:r>
            <w:r>
              <w:rPr>
                <w:rFonts w:hint="default" w:ascii="Times New Roman" w:hAnsi="Times New Roman" w:eastAsia="仿宋_GB2312" w:cs="Times New Roman"/>
                <w:color w:val="auto"/>
                <w:sz w:val="18"/>
                <w:szCs w:val="18"/>
                <w:highlight w:val="none"/>
                <w:lang w:val="en-US" w:eastAsia="zh-CN"/>
              </w:rPr>
              <w:t>万</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20万元（含10万元，不含20万元）（8分）；</w:t>
            </w:r>
          </w:p>
          <w:p w14:paraId="75D7957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both"/>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（3）20万元以上（含20万元）（12分）。</w:t>
            </w:r>
          </w:p>
        </w:tc>
        <w:tc>
          <w:tcPr>
            <w:tcW w:w="284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E57F5A">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一个纳税年度指当年的1月1日至12月31日。</w:t>
            </w:r>
          </w:p>
          <w:p w14:paraId="3529C570">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对同时满足1和2两项条件的，可以累计计分。</w:t>
            </w:r>
          </w:p>
          <w:p w14:paraId="6DA4F0D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p>
        </w:tc>
      </w:tr>
      <w:tr w14:paraId="1F523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left w:val="single" w:color="auto" w:sz="4" w:space="0"/>
              <w:right w:val="single" w:color="auto" w:sz="8" w:space="0"/>
            </w:tcBorders>
            <w:noWrap w:val="0"/>
            <w:tcMar>
              <w:left w:w="108" w:type="dxa"/>
              <w:right w:w="108" w:type="dxa"/>
            </w:tcMar>
            <w:vAlign w:val="center"/>
          </w:tcPr>
          <w:p w14:paraId="45DCB56D">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p>
        </w:tc>
        <w:tc>
          <w:tcPr>
            <w:tcW w:w="468" w:type="dxa"/>
            <w:tcBorders>
              <w:top w:val="single" w:color="auto" w:sz="4" w:space="0"/>
              <w:left w:val="nil"/>
              <w:bottom w:val="single" w:color="auto" w:sz="4" w:space="0"/>
              <w:right w:val="single" w:color="auto" w:sz="8" w:space="0"/>
            </w:tcBorders>
            <w:noWrap w:val="0"/>
            <w:tcMar>
              <w:left w:w="108" w:type="dxa"/>
              <w:right w:w="108" w:type="dxa"/>
            </w:tcMar>
            <w:vAlign w:val="center"/>
          </w:tcPr>
          <w:p w14:paraId="3C4BA631">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7</w:t>
            </w:r>
          </w:p>
        </w:tc>
        <w:tc>
          <w:tcPr>
            <w:tcW w:w="1346" w:type="dxa"/>
            <w:tcBorders>
              <w:top w:val="single" w:color="auto" w:sz="4" w:space="0"/>
              <w:left w:val="nil"/>
              <w:bottom w:val="single" w:color="auto" w:sz="4" w:space="0"/>
              <w:right w:val="single" w:color="auto" w:sz="8" w:space="0"/>
            </w:tcBorders>
            <w:noWrap w:val="0"/>
            <w:tcMar>
              <w:left w:w="108" w:type="dxa"/>
              <w:right w:w="108" w:type="dxa"/>
            </w:tcMar>
            <w:vAlign w:val="center"/>
          </w:tcPr>
          <w:p w14:paraId="3C47EEBF">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default" w:ascii="Times New Roman" w:hAnsi="Times New Roman" w:eastAsia="仿宋_GB2312" w:cs="Times New Roman"/>
                <w:color w:val="auto"/>
                <w:sz w:val="18"/>
                <w:szCs w:val="18"/>
                <w:highlight w:val="none"/>
              </w:rPr>
              <w:t>表彰奖项</w:t>
            </w:r>
          </w:p>
        </w:tc>
        <w:tc>
          <w:tcPr>
            <w:tcW w:w="4387" w:type="dxa"/>
            <w:tcBorders>
              <w:top w:val="single" w:color="auto" w:sz="4" w:space="0"/>
              <w:left w:val="nil"/>
              <w:bottom w:val="single" w:color="auto" w:sz="4" w:space="0"/>
              <w:right w:val="single" w:color="auto" w:sz="8" w:space="0"/>
            </w:tcBorders>
            <w:noWrap w:val="0"/>
            <w:tcMar>
              <w:left w:w="108" w:type="dxa"/>
              <w:right w:w="108" w:type="dxa"/>
            </w:tcMar>
            <w:vAlign w:val="center"/>
          </w:tcPr>
          <w:p w14:paraId="59DB19F2">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个人获得党中央、国务院授予的奖项和荣誉称号（30分）；</w:t>
            </w:r>
          </w:p>
          <w:p w14:paraId="6CE6DC06">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个人获得广东省委、省政府或中央和国家机关部委等授予的劳动模范或先进工作者等荣誉称号（20分）；</w:t>
            </w:r>
          </w:p>
          <w:p w14:paraId="6B838D08">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个人获得广州市委、市政府授予的奖项和荣誉称号（10分）；</w:t>
            </w:r>
          </w:p>
          <w:p w14:paraId="27DB39EA">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4.</w:t>
            </w:r>
            <w:r>
              <w:rPr>
                <w:rFonts w:hint="default" w:ascii="Times New Roman" w:hAnsi="Times New Roman" w:eastAsia="仿宋_GB2312" w:cs="Times New Roman"/>
                <w:color w:val="auto"/>
                <w:sz w:val="18"/>
                <w:szCs w:val="18"/>
                <w:highlight w:val="none"/>
              </w:rPr>
              <w:t>个人获得广州市直机关或各区委、区政府授予的奖项和荣誉称号（5分）。</w:t>
            </w:r>
          </w:p>
          <w:p w14:paraId="5604E2AF">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5.</w:t>
            </w:r>
            <w:r>
              <w:rPr>
                <w:rFonts w:hint="default" w:ascii="Times New Roman" w:hAnsi="Times New Roman" w:eastAsia="仿宋_GB2312" w:cs="Times New Roman"/>
                <w:color w:val="auto"/>
                <w:sz w:val="18"/>
                <w:szCs w:val="18"/>
                <w:highlight w:val="none"/>
              </w:rPr>
              <w:t>个人获得中央军委授予的荣誉称号（30分）。</w:t>
            </w:r>
          </w:p>
          <w:p w14:paraId="728BBB78">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6.</w:t>
            </w:r>
            <w:r>
              <w:rPr>
                <w:rFonts w:hint="default" w:ascii="Times New Roman" w:hAnsi="Times New Roman" w:eastAsia="仿宋_GB2312" w:cs="Times New Roman"/>
                <w:color w:val="auto"/>
                <w:sz w:val="18"/>
                <w:szCs w:val="18"/>
                <w:highlight w:val="none"/>
              </w:rPr>
              <w:t>个人获得一等功（首次20分，累加每次5分）；获得二等功（首次10分，累加每次2分）；获得三等功（首次5分，累加每次1分）。</w:t>
            </w:r>
          </w:p>
        </w:tc>
        <w:tc>
          <w:tcPr>
            <w:tcW w:w="2845" w:type="dxa"/>
            <w:tcBorders>
              <w:top w:val="single" w:color="auto" w:sz="4" w:space="0"/>
              <w:left w:val="nil"/>
              <w:bottom w:val="single" w:color="auto" w:sz="4" w:space="0"/>
              <w:right w:val="single" w:color="auto" w:sz="8" w:space="0"/>
            </w:tcBorders>
            <w:noWrap w:val="0"/>
            <w:tcMar>
              <w:left w:w="108" w:type="dxa"/>
              <w:right w:w="108" w:type="dxa"/>
            </w:tcMar>
            <w:vAlign w:val="center"/>
          </w:tcPr>
          <w:p w14:paraId="15C7931C">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1.</w:t>
            </w:r>
            <w:r>
              <w:rPr>
                <w:rFonts w:hint="default" w:ascii="Times New Roman" w:hAnsi="Times New Roman" w:eastAsia="仿宋_GB2312" w:cs="Times New Roman"/>
                <w:color w:val="auto"/>
                <w:sz w:val="18"/>
                <w:szCs w:val="18"/>
                <w:highlight w:val="none"/>
              </w:rPr>
              <w:t>只计个人在广州市工作期间获得的奖项。</w:t>
            </w:r>
          </w:p>
          <w:p w14:paraId="70AD06E7">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2.</w:t>
            </w:r>
            <w:r>
              <w:rPr>
                <w:rFonts w:hint="default" w:ascii="Times New Roman" w:hAnsi="Times New Roman" w:eastAsia="仿宋_GB2312" w:cs="Times New Roman"/>
                <w:color w:val="auto"/>
                <w:sz w:val="18"/>
                <w:szCs w:val="18"/>
                <w:highlight w:val="none"/>
              </w:rPr>
              <w:t>同一奖项只取最高分，不同奖项可累计计分。</w:t>
            </w:r>
          </w:p>
          <w:p w14:paraId="2FA3AEA6">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3.</w:t>
            </w:r>
            <w:r>
              <w:rPr>
                <w:rFonts w:hint="default" w:ascii="Times New Roman" w:hAnsi="Times New Roman" w:eastAsia="仿宋_GB2312" w:cs="Times New Roman"/>
                <w:color w:val="auto"/>
                <w:sz w:val="18"/>
                <w:szCs w:val="18"/>
                <w:highlight w:val="none"/>
              </w:rPr>
              <w:t>服役期间立功受奖情况（指标内容5</w:t>
            </w:r>
            <w:r>
              <w:rPr>
                <w:rFonts w:hint="default" w:ascii="Times New Roman" w:hAnsi="Times New Roman" w:eastAsia="仿宋_GB2312" w:cs="Times New Roman"/>
                <w:color w:val="auto"/>
                <w:sz w:val="18"/>
                <w:szCs w:val="18"/>
                <w:highlight w:val="none"/>
                <w:lang w:eastAsia="zh-CN"/>
              </w:rPr>
              <w:t>—</w:t>
            </w:r>
            <w:r>
              <w:rPr>
                <w:rFonts w:hint="default" w:ascii="Times New Roman" w:hAnsi="Times New Roman" w:eastAsia="仿宋_GB2312" w:cs="Times New Roman"/>
                <w:color w:val="auto"/>
                <w:sz w:val="18"/>
                <w:szCs w:val="18"/>
                <w:highlight w:val="none"/>
              </w:rPr>
              <w:t>6）不受上述限制。</w:t>
            </w:r>
          </w:p>
          <w:p w14:paraId="79ED633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p>
        </w:tc>
      </w:tr>
      <w:tr w14:paraId="1C9BF2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 w:hRule="atLeast"/>
          <w:jc w:val="center"/>
        </w:trPr>
        <w:tc>
          <w:tcPr>
            <w:tcW w:w="578" w:type="dxa"/>
            <w:vMerge w:val="continue"/>
            <w:tcBorders>
              <w:left w:val="single" w:color="auto" w:sz="4" w:space="0"/>
              <w:bottom w:val="single" w:color="auto" w:sz="4" w:space="0"/>
              <w:right w:val="single" w:color="auto" w:sz="8" w:space="0"/>
            </w:tcBorders>
            <w:noWrap w:val="0"/>
            <w:tcMar>
              <w:left w:w="108" w:type="dxa"/>
              <w:right w:w="108" w:type="dxa"/>
            </w:tcMar>
            <w:vAlign w:val="center"/>
          </w:tcPr>
          <w:p w14:paraId="14EE42D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left="0" w:leftChars="0" w:right="0" w:rightChars="0"/>
              <w:jc w:val="center"/>
              <w:textAlignment w:val="auto"/>
              <w:rPr>
                <w:rFonts w:hint="eastAsia" w:ascii="Times New Roman" w:hAnsi="Times New Roman" w:eastAsia="仿宋_GB2312" w:cs="Times New Roman"/>
                <w:color w:val="auto"/>
                <w:sz w:val="18"/>
                <w:szCs w:val="18"/>
                <w:highlight w:val="none"/>
                <w:lang w:eastAsia="zh-CN"/>
              </w:rPr>
            </w:pPr>
          </w:p>
        </w:tc>
        <w:tc>
          <w:tcPr>
            <w:tcW w:w="468" w:type="dxa"/>
            <w:tcBorders>
              <w:top w:val="single" w:color="auto" w:sz="4" w:space="0"/>
              <w:left w:val="nil"/>
              <w:bottom w:val="single" w:color="auto" w:sz="4" w:space="0"/>
              <w:right w:val="single" w:color="auto" w:sz="8" w:space="0"/>
            </w:tcBorders>
            <w:noWrap w:val="0"/>
            <w:tcMar>
              <w:left w:w="108" w:type="dxa"/>
              <w:right w:w="108" w:type="dxa"/>
            </w:tcMar>
            <w:vAlign w:val="center"/>
          </w:tcPr>
          <w:p w14:paraId="13EC9239">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eastAsia" w:ascii="Times New Roman" w:hAnsi="Times New Roman" w:eastAsia="仿宋_GB2312" w:cs="Times New Roman"/>
                <w:color w:val="auto"/>
                <w:sz w:val="18"/>
                <w:szCs w:val="18"/>
                <w:highlight w:val="none"/>
                <w:lang w:val="en-US" w:eastAsia="zh-CN"/>
              </w:rPr>
            </w:pPr>
            <w:r>
              <w:rPr>
                <w:rFonts w:hint="eastAsia" w:ascii="Times New Roman" w:hAnsi="Times New Roman" w:eastAsia="仿宋_GB2312" w:cs="Times New Roman"/>
                <w:color w:val="auto"/>
                <w:sz w:val="18"/>
                <w:szCs w:val="18"/>
                <w:highlight w:val="none"/>
                <w:lang w:val="en-US" w:eastAsia="zh-CN"/>
              </w:rPr>
              <w:t>8</w:t>
            </w:r>
          </w:p>
        </w:tc>
        <w:tc>
          <w:tcPr>
            <w:tcW w:w="1346" w:type="dxa"/>
            <w:tcBorders>
              <w:top w:val="single" w:color="auto" w:sz="4" w:space="0"/>
              <w:left w:val="nil"/>
              <w:bottom w:val="single" w:color="auto" w:sz="4" w:space="0"/>
              <w:right w:val="single" w:color="auto" w:sz="8" w:space="0"/>
            </w:tcBorders>
            <w:noWrap w:val="0"/>
            <w:tcMar>
              <w:left w:w="108" w:type="dxa"/>
              <w:right w:w="108" w:type="dxa"/>
            </w:tcMar>
            <w:vAlign w:val="center"/>
          </w:tcPr>
          <w:p w14:paraId="3D20105B">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jc w:val="center"/>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花都区</w:t>
            </w:r>
            <w:r>
              <w:rPr>
                <w:rFonts w:hint="eastAsia" w:ascii="Times New Roman" w:hAnsi="Times New Roman" w:eastAsia="仿宋_GB2312" w:cs="Times New Roman"/>
                <w:color w:val="auto"/>
                <w:sz w:val="18"/>
                <w:szCs w:val="18"/>
                <w:highlight w:val="none"/>
                <w:lang w:eastAsia="zh-CN"/>
              </w:rPr>
              <w:t>加分指标</w:t>
            </w:r>
          </w:p>
        </w:tc>
        <w:tc>
          <w:tcPr>
            <w:tcW w:w="4387" w:type="dxa"/>
            <w:tcBorders>
              <w:top w:val="single" w:color="auto" w:sz="4" w:space="0"/>
              <w:left w:val="nil"/>
              <w:bottom w:val="single" w:color="auto" w:sz="4" w:space="0"/>
              <w:right w:val="single" w:color="auto" w:sz="8" w:space="0"/>
            </w:tcBorders>
            <w:noWrap w:val="0"/>
            <w:tcMar>
              <w:left w:w="108" w:type="dxa"/>
              <w:right w:w="108" w:type="dxa"/>
            </w:tcMar>
            <w:vAlign w:val="center"/>
          </w:tcPr>
          <w:p w14:paraId="0EC4F060">
            <w:pPr>
              <w:pStyle w:val="27"/>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240" w:lineRule="exact"/>
              <w:ind w:right="0" w:rightChars="0"/>
              <w:jc w:val="both"/>
              <w:textAlignment w:val="auto"/>
              <w:rPr>
                <w:rFonts w:hint="default" w:ascii="Times New Roman" w:hAnsi="Times New Roman" w:eastAsia="仿宋_GB2312" w:cs="Times New Roman"/>
                <w:color w:val="auto"/>
                <w:sz w:val="18"/>
                <w:szCs w:val="18"/>
                <w:highlight w:val="none"/>
              </w:rPr>
            </w:pPr>
            <w:r>
              <w:rPr>
                <w:rFonts w:hint="eastAsia" w:ascii="Times New Roman" w:hAnsi="Times New Roman" w:eastAsia="仿宋_GB2312" w:cs="Times New Roman"/>
                <w:color w:val="auto"/>
                <w:sz w:val="18"/>
                <w:szCs w:val="18"/>
                <w:highlight w:val="none"/>
                <w:lang w:val="en-US" w:eastAsia="zh-CN"/>
              </w:rPr>
              <w:t>持</w:t>
            </w:r>
            <w:r>
              <w:rPr>
                <w:rFonts w:hint="eastAsia" w:ascii="Times New Roman" w:hAnsi="Times New Roman" w:eastAsia="仿宋_GB2312" w:cs="Times New Roman"/>
                <w:color w:val="auto"/>
                <w:sz w:val="18"/>
                <w:szCs w:val="18"/>
                <w:highlight w:val="none"/>
              </w:rPr>
              <w:t>花都区有效《广东省居住证》连续</w:t>
            </w:r>
            <w:r>
              <w:rPr>
                <w:rFonts w:hint="eastAsia" w:ascii="Times New Roman" w:hAnsi="Times New Roman" w:eastAsia="仿宋_GB2312" w:cs="Times New Roman"/>
                <w:color w:val="auto"/>
                <w:sz w:val="18"/>
                <w:szCs w:val="18"/>
                <w:highlight w:val="none"/>
                <w:lang w:val="en-US" w:eastAsia="zh-CN"/>
              </w:rPr>
              <w:t>每</w:t>
            </w:r>
            <w:r>
              <w:rPr>
                <w:rFonts w:hint="eastAsia" w:ascii="Times New Roman" w:hAnsi="Times New Roman" w:eastAsia="仿宋_GB2312" w:cs="Times New Roman"/>
                <w:color w:val="auto"/>
                <w:sz w:val="18"/>
                <w:szCs w:val="18"/>
                <w:highlight w:val="none"/>
              </w:rPr>
              <w:t>满一年</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计算时间截至当年4月30日</w:t>
            </w:r>
            <w:r>
              <w:rPr>
                <w:rFonts w:hint="eastAsia" w:ascii="Times New Roman" w:hAnsi="Times New Roman" w:eastAsia="仿宋_GB2312" w:cs="Times New Roman"/>
                <w:color w:val="auto"/>
                <w:sz w:val="18"/>
                <w:szCs w:val="18"/>
                <w:highlight w:val="none"/>
                <w:lang w:eastAsia="zh-CN"/>
              </w:rPr>
              <w:t>）</w:t>
            </w:r>
            <w:r>
              <w:rPr>
                <w:rFonts w:hint="eastAsia" w:ascii="Times New Roman" w:hAnsi="Times New Roman" w:eastAsia="仿宋_GB2312" w:cs="Times New Roman"/>
                <w:color w:val="auto"/>
                <w:sz w:val="18"/>
                <w:szCs w:val="18"/>
                <w:highlight w:val="none"/>
                <w:lang w:val="en-US" w:eastAsia="zh-CN"/>
              </w:rPr>
              <w:t>加10分，最多加30分。</w:t>
            </w:r>
          </w:p>
        </w:tc>
        <w:tc>
          <w:tcPr>
            <w:tcW w:w="2845" w:type="dxa"/>
            <w:tcBorders>
              <w:top w:val="single" w:color="auto" w:sz="4" w:space="0"/>
              <w:left w:val="nil"/>
              <w:bottom w:val="single" w:color="auto" w:sz="4" w:space="0"/>
              <w:right w:val="single" w:color="auto" w:sz="8" w:space="0"/>
            </w:tcBorders>
            <w:noWrap w:val="0"/>
            <w:tcMar>
              <w:left w:w="108" w:type="dxa"/>
              <w:right w:w="108" w:type="dxa"/>
            </w:tcMar>
            <w:vAlign w:val="center"/>
          </w:tcPr>
          <w:p w14:paraId="4B2AC1FB">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exact"/>
              <w:ind w:firstLine="360" w:firstLineChars="200"/>
              <w:jc w:val="both"/>
              <w:textAlignment w:val="auto"/>
              <w:rPr>
                <w:rFonts w:hint="default" w:ascii="Times New Roman" w:hAnsi="Times New Roman" w:eastAsia="仿宋_GB2312" w:cs="Times New Roman"/>
                <w:color w:val="auto"/>
                <w:sz w:val="18"/>
                <w:szCs w:val="18"/>
                <w:highlight w:val="none"/>
              </w:rPr>
            </w:pPr>
          </w:p>
        </w:tc>
      </w:tr>
    </w:tbl>
    <w:p w14:paraId="69376487">
      <w:pPr>
        <w:pStyle w:val="2"/>
        <w:ind w:firstLine="680" w:firstLineChars="200"/>
        <w:rPr>
          <w:lang w:val="en-US" w:eastAsia="zh-CN"/>
        </w:rPr>
      </w:pPr>
    </w:p>
    <w:sectPr>
      <w:footerReference r:id="rId5" w:type="default"/>
      <w:pgSz w:w="11906" w:h="16838"/>
      <w:pgMar w:top="1304" w:right="1361" w:bottom="1304" w:left="1304"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0A1F3E-34BA-4959-937C-3E36999927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7F22D28-1810-4393-94B2-A2350F2AEAA5}"/>
  </w:font>
  <w:font w:name="方正小标宋简体">
    <w:panose1 w:val="03000509000000000000"/>
    <w:charset w:val="86"/>
    <w:family w:val="auto"/>
    <w:pitch w:val="default"/>
    <w:sig w:usb0="00000001" w:usb1="080E0000" w:usb2="00000000" w:usb3="00000000" w:csb0="00040000" w:csb1="00000000"/>
    <w:embedRegular r:id="rId3" w:fontKey="{B362F507-AC83-446B-BBAE-4B7A16E9E2BF}"/>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3F5F">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217"/>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a:noFill/>
                      </a:ln>
                    </wps:spPr>
                    <wps:txbx>
                      <w:txbxContent>
                        <w:p w14:paraId="008EBCD6">
                          <w:pPr>
                            <w:pStyle w:val="18"/>
                            <w:rPr>
                              <w:rStyle w:val="33"/>
                              <w:rFonts w:hint="eastAsia" w:ascii="宋体" w:hAnsi="宋体" w:eastAsia="宋体" w:cs="宋体"/>
                              <w:sz w:val="28"/>
                              <w:szCs w:val="28"/>
                            </w:rPr>
                          </w:pPr>
                          <w:r>
                            <w:rPr>
                              <w:rStyle w:val="33"/>
                              <w:rFonts w:hint="eastAsia" w:ascii="宋体" w:hAnsi="宋体" w:eastAsia="宋体" w:cs="宋体"/>
                              <w:sz w:val="28"/>
                              <w:szCs w:val="28"/>
                            </w:rPr>
                            <w:t xml:space="preserve">— </w:t>
                          </w:r>
                          <w:r>
                            <w:rPr>
                              <w:rStyle w:val="33"/>
                              <w:rFonts w:hint="eastAsia" w:ascii="宋体" w:hAnsi="宋体" w:eastAsia="宋体" w:cs="宋体"/>
                              <w:sz w:val="28"/>
                              <w:szCs w:val="28"/>
                            </w:rPr>
                            <w:fldChar w:fldCharType="begin"/>
                          </w:r>
                          <w:r>
                            <w:rPr>
                              <w:rStyle w:val="33"/>
                              <w:rFonts w:hint="eastAsia" w:ascii="宋体" w:hAnsi="宋体" w:eastAsia="宋体" w:cs="宋体"/>
                              <w:sz w:val="28"/>
                              <w:szCs w:val="28"/>
                            </w:rPr>
                            <w:instrText xml:space="preserve"> PAGE  \* MERGEFORMAT </w:instrText>
                          </w:r>
                          <w:r>
                            <w:rPr>
                              <w:rStyle w:val="33"/>
                              <w:rFonts w:hint="eastAsia" w:ascii="宋体" w:hAnsi="宋体" w:eastAsia="宋体" w:cs="宋体"/>
                              <w:sz w:val="28"/>
                              <w:szCs w:val="28"/>
                            </w:rPr>
                            <w:fldChar w:fldCharType="separate"/>
                          </w:r>
                          <w:r>
                            <w:rPr>
                              <w:rStyle w:val="33"/>
                              <w:rFonts w:hint="eastAsia" w:ascii="宋体" w:hAnsi="宋体" w:eastAsia="宋体" w:cs="宋体"/>
                              <w:sz w:val="28"/>
                              <w:szCs w:val="28"/>
                            </w:rPr>
                            <w:t>12</w:t>
                          </w:r>
                          <w:r>
                            <w:rPr>
                              <w:rStyle w:val="33"/>
                              <w:rFonts w:hint="eastAsia" w:ascii="宋体" w:hAnsi="宋体" w:eastAsia="宋体" w:cs="宋体"/>
                              <w:sz w:val="28"/>
                              <w:szCs w:val="28"/>
                            </w:rPr>
                            <w:fldChar w:fldCharType="end"/>
                          </w:r>
                          <w:r>
                            <w:rPr>
                              <w:rStyle w:val="33"/>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921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13Iw0dIBAACgAwAADgAAAAAAAAABACAAAAAfAQAA&#10;ZHJzL2Uyb0RvYy54bWxQSwUGAAAAAAYABgBZAQAAYwUAAAAA&#10;">
              <v:fill on="f" focussize="0,0"/>
              <v:stroke on="f"/>
              <v:imagedata o:title=""/>
              <o:lock v:ext="edit" aspectratio="f"/>
              <v:textbox inset="0mm,0mm,0mm,0mm" style="mso-fit-shape-to-text:t;">
                <w:txbxContent>
                  <w:p w14:paraId="008EBCD6">
                    <w:pPr>
                      <w:pStyle w:val="18"/>
                      <w:rPr>
                        <w:rStyle w:val="33"/>
                        <w:rFonts w:hint="eastAsia" w:ascii="宋体" w:hAnsi="宋体" w:eastAsia="宋体" w:cs="宋体"/>
                        <w:sz w:val="28"/>
                        <w:szCs w:val="28"/>
                      </w:rPr>
                    </w:pPr>
                    <w:r>
                      <w:rPr>
                        <w:rStyle w:val="33"/>
                        <w:rFonts w:hint="eastAsia" w:ascii="宋体" w:hAnsi="宋体" w:eastAsia="宋体" w:cs="宋体"/>
                        <w:sz w:val="28"/>
                        <w:szCs w:val="28"/>
                      </w:rPr>
                      <w:t xml:space="preserve">— </w:t>
                    </w:r>
                    <w:r>
                      <w:rPr>
                        <w:rStyle w:val="33"/>
                        <w:rFonts w:hint="eastAsia" w:ascii="宋体" w:hAnsi="宋体" w:eastAsia="宋体" w:cs="宋体"/>
                        <w:sz w:val="28"/>
                        <w:szCs w:val="28"/>
                      </w:rPr>
                      <w:fldChar w:fldCharType="begin"/>
                    </w:r>
                    <w:r>
                      <w:rPr>
                        <w:rStyle w:val="33"/>
                        <w:rFonts w:hint="eastAsia" w:ascii="宋体" w:hAnsi="宋体" w:eastAsia="宋体" w:cs="宋体"/>
                        <w:sz w:val="28"/>
                        <w:szCs w:val="28"/>
                      </w:rPr>
                      <w:instrText xml:space="preserve"> PAGE  \* MERGEFORMAT </w:instrText>
                    </w:r>
                    <w:r>
                      <w:rPr>
                        <w:rStyle w:val="33"/>
                        <w:rFonts w:hint="eastAsia" w:ascii="宋体" w:hAnsi="宋体" w:eastAsia="宋体" w:cs="宋体"/>
                        <w:sz w:val="28"/>
                        <w:szCs w:val="28"/>
                      </w:rPr>
                      <w:fldChar w:fldCharType="separate"/>
                    </w:r>
                    <w:r>
                      <w:rPr>
                        <w:rStyle w:val="33"/>
                        <w:rFonts w:hint="eastAsia" w:ascii="宋体" w:hAnsi="宋体" w:eastAsia="宋体" w:cs="宋体"/>
                        <w:sz w:val="28"/>
                        <w:szCs w:val="28"/>
                      </w:rPr>
                      <w:t>12</w:t>
                    </w:r>
                    <w:r>
                      <w:rPr>
                        <w:rStyle w:val="33"/>
                        <w:rFonts w:hint="eastAsia" w:ascii="宋体" w:hAnsi="宋体" w:eastAsia="宋体" w:cs="宋体"/>
                        <w:sz w:val="28"/>
                        <w:szCs w:val="28"/>
                      </w:rPr>
                      <w:fldChar w:fldCharType="end"/>
                    </w:r>
                    <w:r>
                      <w:rPr>
                        <w:rStyle w:val="33"/>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revisionView w:markup="0"/>
  <w:trackRevisions w:val="1"/>
  <w:documentProtection w:enforcement="0"/>
  <w:defaultTabStop w:val="420"/>
  <w:characterSpacingControl w:val="compressPunctuation"/>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Yzg1ZTRiYjk3MTgwNzNhZmY5NTBmODM1NmRiN2QifQ=="/>
  </w:docVars>
  <w:rsids>
    <w:rsidRoot w:val="00000000"/>
    <w:rsid w:val="022D4557"/>
    <w:rsid w:val="03FD725D"/>
    <w:rsid w:val="040F2FA1"/>
    <w:rsid w:val="046F737E"/>
    <w:rsid w:val="04B30DA7"/>
    <w:rsid w:val="059D0C44"/>
    <w:rsid w:val="05C55ABF"/>
    <w:rsid w:val="068723D9"/>
    <w:rsid w:val="069A337A"/>
    <w:rsid w:val="07713742"/>
    <w:rsid w:val="080B5AA7"/>
    <w:rsid w:val="085A5C9E"/>
    <w:rsid w:val="08FF5920"/>
    <w:rsid w:val="0A6C6986"/>
    <w:rsid w:val="0A8B57AB"/>
    <w:rsid w:val="0AAC0A11"/>
    <w:rsid w:val="0C400DC1"/>
    <w:rsid w:val="102C7CFD"/>
    <w:rsid w:val="11566901"/>
    <w:rsid w:val="127D6B15"/>
    <w:rsid w:val="14F03990"/>
    <w:rsid w:val="150E3A02"/>
    <w:rsid w:val="15B42526"/>
    <w:rsid w:val="16103499"/>
    <w:rsid w:val="16D85A1B"/>
    <w:rsid w:val="1B701F3F"/>
    <w:rsid w:val="1C9F78B3"/>
    <w:rsid w:val="1DD217F8"/>
    <w:rsid w:val="1E561D5D"/>
    <w:rsid w:val="1F686609"/>
    <w:rsid w:val="20643CDF"/>
    <w:rsid w:val="20CB21C7"/>
    <w:rsid w:val="21602A88"/>
    <w:rsid w:val="21D7074D"/>
    <w:rsid w:val="223041D4"/>
    <w:rsid w:val="22C5773B"/>
    <w:rsid w:val="22F87F0E"/>
    <w:rsid w:val="23427D2B"/>
    <w:rsid w:val="23ED482A"/>
    <w:rsid w:val="25D302E0"/>
    <w:rsid w:val="25D65B0B"/>
    <w:rsid w:val="25E751D1"/>
    <w:rsid w:val="25E96BDB"/>
    <w:rsid w:val="271F0256"/>
    <w:rsid w:val="27C8066E"/>
    <w:rsid w:val="27D37C64"/>
    <w:rsid w:val="28842606"/>
    <w:rsid w:val="290B373F"/>
    <w:rsid w:val="295F7308"/>
    <w:rsid w:val="2B8768DF"/>
    <w:rsid w:val="2C6F0544"/>
    <w:rsid w:val="2E2547C1"/>
    <w:rsid w:val="2F57550A"/>
    <w:rsid w:val="326F2EC9"/>
    <w:rsid w:val="32852B7B"/>
    <w:rsid w:val="33106143"/>
    <w:rsid w:val="34052D0E"/>
    <w:rsid w:val="348A76EB"/>
    <w:rsid w:val="35877EBB"/>
    <w:rsid w:val="36327D7A"/>
    <w:rsid w:val="38837BD3"/>
    <w:rsid w:val="3CBE0FBA"/>
    <w:rsid w:val="3EBC468C"/>
    <w:rsid w:val="454E4314"/>
    <w:rsid w:val="46071707"/>
    <w:rsid w:val="460C1FE1"/>
    <w:rsid w:val="47AB3DD3"/>
    <w:rsid w:val="497B3E58"/>
    <w:rsid w:val="4A5C7A7F"/>
    <w:rsid w:val="4AAA118F"/>
    <w:rsid w:val="4ADA1350"/>
    <w:rsid w:val="4B3B4862"/>
    <w:rsid w:val="4C186E0A"/>
    <w:rsid w:val="4CC741AC"/>
    <w:rsid w:val="4FF9453E"/>
    <w:rsid w:val="50692409"/>
    <w:rsid w:val="51584E09"/>
    <w:rsid w:val="51A72505"/>
    <w:rsid w:val="535428DC"/>
    <w:rsid w:val="53DC0610"/>
    <w:rsid w:val="542B6C11"/>
    <w:rsid w:val="579C2A8E"/>
    <w:rsid w:val="589752E6"/>
    <w:rsid w:val="5AEF3E82"/>
    <w:rsid w:val="5BAB31F0"/>
    <w:rsid w:val="5BDF3B0E"/>
    <w:rsid w:val="5CB97325"/>
    <w:rsid w:val="5DAE0A6F"/>
    <w:rsid w:val="5DC44F64"/>
    <w:rsid w:val="5FE73964"/>
    <w:rsid w:val="606E3269"/>
    <w:rsid w:val="60EA043F"/>
    <w:rsid w:val="617E28E5"/>
    <w:rsid w:val="62CC1FD1"/>
    <w:rsid w:val="65162368"/>
    <w:rsid w:val="65722262"/>
    <w:rsid w:val="65CF3B2C"/>
    <w:rsid w:val="66A8673B"/>
    <w:rsid w:val="66EF4FB5"/>
    <w:rsid w:val="687F35BC"/>
    <w:rsid w:val="692902D8"/>
    <w:rsid w:val="69E9295C"/>
    <w:rsid w:val="6B8D7ADF"/>
    <w:rsid w:val="6C762C76"/>
    <w:rsid w:val="6FBA5063"/>
    <w:rsid w:val="7092523D"/>
    <w:rsid w:val="71443B8E"/>
    <w:rsid w:val="717C7FBA"/>
    <w:rsid w:val="71F00A84"/>
    <w:rsid w:val="720703BA"/>
    <w:rsid w:val="728F2331"/>
    <w:rsid w:val="73BC0198"/>
    <w:rsid w:val="74223D52"/>
    <w:rsid w:val="749C0512"/>
    <w:rsid w:val="75CD7388"/>
    <w:rsid w:val="772D3A5B"/>
    <w:rsid w:val="77B003F6"/>
    <w:rsid w:val="7A334BFC"/>
    <w:rsid w:val="7C89649B"/>
    <w:rsid w:val="7E67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ascii="Times New Roman" w:hAnsi="Times New Roman" w:eastAsia="宋体" w:cs="Times New Roman"/>
      <w:color w:val="auto"/>
      <w:spacing w:val="0"/>
      <w:position w:val="0"/>
      <w:sz w:val="21"/>
      <w:szCs w:val="22"/>
      <w:lang w:val="en-US" w:eastAsia="zh-CN" w:bidi="ar-SA"/>
    </w:rPr>
  </w:style>
  <w:style w:type="paragraph" w:styleId="3">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link w:val="38"/>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99"/>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0"/>
    <w:pPr>
      <w:widowControl w:val="0"/>
      <w:spacing w:after="120"/>
      <w:jc w:val="both"/>
    </w:pPr>
    <w:rPr>
      <w:rFonts w:ascii="仿宋_GB2312" w:eastAsia="仿宋_GB2312" w:cs="Times New Roman"/>
      <w:snapToGrid w:val="0"/>
      <w:spacing w:val="6"/>
      <w:kern w:val="2"/>
      <w:sz w:val="30"/>
      <w:szCs w:val="30"/>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Balloon Text"/>
    <w:basedOn w:val="1"/>
    <w:link w:val="182"/>
    <w:qFormat/>
    <w:uiPriority w:val="99"/>
    <w:rPr>
      <w:sz w:val="18"/>
      <w:szCs w:val="18"/>
    </w:rPr>
  </w:style>
  <w:style w:type="paragraph" w:styleId="18">
    <w:name w:val="footer"/>
    <w:basedOn w:val="1"/>
    <w:link w:val="185"/>
    <w:qFormat/>
    <w:uiPriority w:val="99"/>
    <w:pPr>
      <w:tabs>
        <w:tab w:val="center" w:pos="4153"/>
        <w:tab w:val="right" w:pos="8306"/>
      </w:tabs>
      <w:snapToGrid w:val="0"/>
      <w:jc w:val="left"/>
    </w:pPr>
    <w:rPr>
      <w:rFonts w:ascii="Calibri" w:hAnsi="Calibri"/>
      <w:sz w:val="18"/>
      <w:szCs w:val="18"/>
    </w:rPr>
  </w:style>
  <w:style w:type="paragraph" w:styleId="19">
    <w:name w:val="header"/>
    <w:basedOn w:val="1"/>
    <w:link w:val="184"/>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9"/>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Normal (Web)"/>
    <w:basedOn w:val="1"/>
    <w:unhideWhenUsed/>
    <w:qFormat/>
    <w:uiPriority w:val="99"/>
    <w:pPr>
      <w:widowControl w:val="0"/>
      <w:spacing w:before="100" w:beforeAutospacing="1" w:after="100" w:afterAutospacing="1"/>
      <w:jc w:val="both"/>
    </w:pPr>
    <w:rPr>
      <w:rFonts w:ascii="Calibri" w:hAnsi="Calibri" w:eastAsia="宋体" w:cs="Times New Roman"/>
      <w:kern w:val="2"/>
      <w:sz w:val="21"/>
    </w:rPr>
  </w:style>
  <w:style w:type="paragraph" w:styleId="28">
    <w:name w:val="Title"/>
    <w:basedOn w:val="1"/>
    <w:next w:val="1"/>
    <w:link w:val="48"/>
    <w:qFormat/>
    <w:uiPriority w:val="10"/>
    <w:pPr>
      <w:spacing w:before="300" w:after="200"/>
      <w:contextualSpacing/>
    </w:pPr>
    <w:rPr>
      <w:sz w:val="48"/>
      <w:szCs w:val="48"/>
    </w:rPr>
  </w:style>
  <w:style w:type="table" w:styleId="30">
    <w:name w:val="Table Grid"/>
    <w:basedOn w:val="2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99"/>
    <w:rPr>
      <w:rFonts w:cs="Times New Roman"/>
      <w:b/>
    </w:rPr>
  </w:style>
  <w:style w:type="character" w:styleId="33">
    <w:name w:val="page number"/>
    <w:basedOn w:val="31"/>
    <w:qFormat/>
    <w:uiPriority w:val="99"/>
    <w:rPr>
      <w:rFonts w:cs="Times New Roman"/>
    </w:rPr>
  </w:style>
  <w:style w:type="character" w:styleId="34">
    <w:name w:val="FollowedHyperlink"/>
    <w:basedOn w:val="31"/>
    <w:semiHidden/>
    <w:unhideWhenUsed/>
    <w:qFormat/>
    <w:uiPriority w:val="99"/>
    <w:rPr>
      <w:color w:val="800080"/>
      <w:u w:val="single"/>
    </w:rPr>
  </w:style>
  <w:style w:type="character" w:styleId="35">
    <w:name w:val="Hyperlink"/>
    <w:basedOn w:val="31"/>
    <w:qFormat/>
    <w:uiPriority w:val="99"/>
    <w:rPr>
      <w:rFonts w:cs="Times New Roman"/>
      <w:color w:val="0000FF"/>
      <w:u w:val="single"/>
    </w:rPr>
  </w:style>
  <w:style w:type="character" w:styleId="36">
    <w:name w:val="footnote reference"/>
    <w:basedOn w:val="31"/>
    <w:unhideWhenUsed/>
    <w:qFormat/>
    <w:uiPriority w:val="99"/>
    <w:rPr>
      <w:vertAlign w:val="superscript"/>
    </w:rPr>
  </w:style>
  <w:style w:type="character" w:customStyle="1" w:styleId="37">
    <w:name w:val="Heading 1 Char"/>
    <w:basedOn w:val="31"/>
    <w:link w:val="3"/>
    <w:qFormat/>
    <w:uiPriority w:val="9"/>
    <w:rPr>
      <w:rFonts w:ascii="Arial" w:hAnsi="Arial" w:eastAsia="Arial" w:cs="Arial"/>
      <w:sz w:val="40"/>
      <w:szCs w:val="40"/>
    </w:rPr>
  </w:style>
  <w:style w:type="character" w:customStyle="1" w:styleId="38">
    <w:name w:val="Heading 2 Char"/>
    <w:basedOn w:val="31"/>
    <w:link w:val="2"/>
    <w:qFormat/>
    <w:uiPriority w:val="9"/>
    <w:rPr>
      <w:rFonts w:ascii="Arial" w:hAnsi="Arial" w:eastAsia="Arial" w:cs="Arial"/>
      <w:sz w:val="34"/>
    </w:rPr>
  </w:style>
  <w:style w:type="character" w:customStyle="1" w:styleId="39">
    <w:name w:val="Heading 3 Char"/>
    <w:basedOn w:val="31"/>
    <w:link w:val="4"/>
    <w:qFormat/>
    <w:uiPriority w:val="9"/>
    <w:rPr>
      <w:rFonts w:ascii="Arial" w:hAnsi="Arial" w:eastAsia="Arial" w:cs="Arial"/>
      <w:sz w:val="30"/>
      <w:szCs w:val="30"/>
    </w:rPr>
  </w:style>
  <w:style w:type="character" w:customStyle="1" w:styleId="40">
    <w:name w:val="Heading 4 Char"/>
    <w:basedOn w:val="31"/>
    <w:link w:val="5"/>
    <w:qFormat/>
    <w:uiPriority w:val="9"/>
    <w:rPr>
      <w:rFonts w:ascii="Arial" w:hAnsi="Arial" w:eastAsia="Arial" w:cs="Arial"/>
      <w:b/>
      <w:bCs/>
      <w:sz w:val="26"/>
      <w:szCs w:val="26"/>
    </w:rPr>
  </w:style>
  <w:style w:type="character" w:customStyle="1" w:styleId="41">
    <w:name w:val="Heading 5 Char"/>
    <w:basedOn w:val="31"/>
    <w:link w:val="6"/>
    <w:qFormat/>
    <w:uiPriority w:val="9"/>
    <w:rPr>
      <w:rFonts w:ascii="Arial" w:hAnsi="Arial" w:eastAsia="Arial" w:cs="Arial"/>
      <w:b/>
      <w:bCs/>
      <w:sz w:val="24"/>
      <w:szCs w:val="24"/>
    </w:rPr>
  </w:style>
  <w:style w:type="character" w:customStyle="1" w:styleId="42">
    <w:name w:val="Heading 6 Char"/>
    <w:basedOn w:val="31"/>
    <w:link w:val="7"/>
    <w:qFormat/>
    <w:uiPriority w:val="9"/>
    <w:rPr>
      <w:rFonts w:ascii="Arial" w:hAnsi="Arial" w:eastAsia="Arial" w:cs="Arial"/>
      <w:b/>
      <w:bCs/>
      <w:sz w:val="22"/>
      <w:szCs w:val="22"/>
    </w:rPr>
  </w:style>
  <w:style w:type="character" w:customStyle="1" w:styleId="43">
    <w:name w:val="Heading 7 Char"/>
    <w:basedOn w:val="31"/>
    <w:link w:val="8"/>
    <w:qFormat/>
    <w:uiPriority w:val="9"/>
    <w:rPr>
      <w:rFonts w:ascii="Arial" w:hAnsi="Arial" w:eastAsia="Arial" w:cs="Arial"/>
      <w:b/>
      <w:bCs/>
      <w:i/>
      <w:iCs/>
      <w:sz w:val="22"/>
      <w:szCs w:val="22"/>
    </w:rPr>
  </w:style>
  <w:style w:type="character" w:customStyle="1" w:styleId="44">
    <w:name w:val="Heading 8 Char"/>
    <w:basedOn w:val="31"/>
    <w:link w:val="9"/>
    <w:qFormat/>
    <w:uiPriority w:val="9"/>
    <w:rPr>
      <w:rFonts w:ascii="Arial" w:hAnsi="Arial" w:eastAsia="Arial" w:cs="Arial"/>
      <w:i/>
      <w:iCs/>
      <w:sz w:val="22"/>
      <w:szCs w:val="22"/>
    </w:rPr>
  </w:style>
  <w:style w:type="character" w:customStyle="1" w:styleId="45">
    <w:name w:val="Heading 9 Char"/>
    <w:basedOn w:val="31"/>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48">
    <w:name w:val="Title Char"/>
    <w:basedOn w:val="31"/>
    <w:link w:val="28"/>
    <w:qFormat/>
    <w:uiPriority w:val="10"/>
    <w:rPr>
      <w:sz w:val="48"/>
      <w:szCs w:val="48"/>
    </w:rPr>
  </w:style>
  <w:style w:type="character" w:customStyle="1" w:styleId="49">
    <w:name w:val="Subtitle Char"/>
    <w:basedOn w:val="31"/>
    <w:link w:val="22"/>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Caption Char"/>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7">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70">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71">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72">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73">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74">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style>
  <w:style w:type="table" w:customStyle="1" w:styleId="77">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78">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79">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80">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81">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style>
  <w:style w:type="table" w:customStyle="1" w:styleId="84">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style>
  <w:style w:type="table" w:customStyle="1" w:styleId="85">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style>
  <w:style w:type="table" w:customStyle="1" w:styleId="86">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style>
  <w:style w:type="table" w:customStyle="1" w:styleId="87">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style>
  <w:style w:type="table" w:customStyle="1" w:styleId="88">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style>
  <w:style w:type="table" w:customStyle="1" w:styleId="89">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90">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style>
  <w:style w:type="table" w:customStyle="1" w:styleId="91">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style>
  <w:style w:type="table" w:customStyle="1" w:styleId="92">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style>
  <w:style w:type="table" w:customStyle="1" w:styleId="93">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style>
  <w:style w:type="table" w:customStyle="1" w:styleId="94">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style>
  <w:style w:type="table" w:customStyle="1" w:styleId="95">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style>
  <w:style w:type="table" w:customStyle="1" w:styleId="96">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FFFFFF"/>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FFFFFF"/>
      </w:tcPr>
    </w:tblStylePr>
    <w:tblStylePr w:type="band1Vert">
      <w:tcPr>
        <w:shd w:val="clear" w:color="auto"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FFFFFF"/>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FFFFFF"/>
      </w:tcPr>
    </w:tblStylePr>
    <w:tblStylePr w:type="band1Vert">
      <w:tcPr>
        <w:shd w:val="clear" w:color="auto"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FFFFFF"/>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FFFFFF"/>
      </w:tcPr>
    </w:tblStylePr>
    <w:tblStylePr w:type="band1Vert">
      <w:tcPr>
        <w:shd w:val="clear" w:color="auto" w:fill="DAEEF3" w:themeFill="accent5" w:themeFillTint="34"/>
      </w:tcPr>
    </w:tblStylePr>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FFFFFF"/>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FFFFFF"/>
      </w:tcPr>
    </w:tblStylePr>
    <w:tblStylePr w:type="band1Vert">
      <w:tcPr>
        <w:shd w:val="clear" w:color="auto" w:fill="FDE9D9" w:themeFill="accent6" w:themeFillTint="34"/>
      </w:tcPr>
    </w:tblStylePr>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1">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style>
  <w:style w:type="table" w:customStyle="1" w:styleId="112">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style>
  <w:style w:type="table" w:customStyle="1" w:styleId="113">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style>
  <w:style w:type="table" w:customStyle="1" w:styleId="114">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style>
  <w:style w:type="table" w:customStyle="1" w:styleId="116">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style>
  <w:style w:type="table" w:customStyle="1" w:styleId="117">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8">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19">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20">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21">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22">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23">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24">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2">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style>
  <w:style w:type="table" w:customStyle="1" w:styleId="133">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style>
  <w:style w:type="table" w:customStyle="1" w:styleId="134">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style>
  <w:style w:type="table" w:customStyle="1" w:styleId="135">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style>
  <w:style w:type="table" w:customStyle="1" w:styleId="136">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style>
  <w:style w:type="table" w:customStyle="1" w:styleId="137">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style>
  <w:style w:type="table" w:customStyle="1" w:styleId="138">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style>
  <w:style w:type="table" w:customStyle="1" w:styleId="140">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style>
  <w:style w:type="table" w:customStyle="1" w:styleId="141">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style>
  <w:style w:type="table" w:customStyle="1" w:styleId="142">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style>
  <w:style w:type="table" w:customStyle="1" w:styleId="143">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style>
  <w:style w:type="table" w:customStyle="1" w:styleId="144">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style>
  <w:style w:type="table" w:customStyle="1" w:styleId="145">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FFFFFF"/>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FFFFFF"/>
      </w:tcPr>
    </w:tblStylePr>
    <w:tblStylePr w:type="band1Vert">
      <w:tcPr>
        <w:shd w:val="clear" w:color="auto" w:fill="D2DFEE" w:themeFill="accent1" w:themeFillTint="40"/>
      </w:tcPr>
    </w:tblStylePr>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FFFFFF"/>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FFFFFF"/>
      </w:tcPr>
    </w:tblStylePr>
    <w:tblStylePr w:type="band1Vert">
      <w:tcPr>
        <w:shd w:val="clear" w:color="auto"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FFFFFF"/>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FFFFFF"/>
      </w:tcPr>
    </w:tblStylePr>
    <w:tblStylePr w:type="band1Vert">
      <w:tcPr>
        <w:shd w:val="clear" w:color="auto"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FFFFFF"/>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FFFFFF"/>
      </w:tcPr>
    </w:tblStylePr>
    <w:tblStylePr w:type="band1Vert">
      <w:tcPr>
        <w:shd w:val="clear" w:color="auto"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FFFFFF"/>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FFFFFF"/>
      </w:tcPr>
    </w:tblStylePr>
    <w:tblStylePr w:type="band1Vert">
      <w:tcPr>
        <w:shd w:val="clear" w:color="auto"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FFFFFF"/>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FFFFFF"/>
      </w:tcPr>
    </w:tblStylePr>
    <w:tblStylePr w:type="band1Vert">
      <w:tcPr>
        <w:shd w:val="clear" w:color="auto"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2">
    <w:name w:val="Lined - Accent 3"/>
    <w:basedOn w:val="29"/>
    <w:qFormat/>
    <w:uiPriority w:val="99"/>
    <w:pPr>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3">
    <w:name w:val="Lined - Accent 4"/>
    <w:basedOn w:val="29"/>
    <w:qFormat/>
    <w:uiPriority w:val="99"/>
    <w:pPr>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4">
    <w:name w:val="Lined - Accent 5"/>
    <w:basedOn w:val="29"/>
    <w:qFormat/>
    <w:uiPriority w:val="99"/>
    <w:pPr>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65">
    <w:name w:val="Lined - Accent 6"/>
    <w:basedOn w:val="29"/>
    <w:qFormat/>
    <w:uiPriority w:val="99"/>
    <w:pPr>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66">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7">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70">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1">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style>
  <w:style w:type="table" w:customStyle="1" w:styleId="172">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style>
  <w:style w:type="table" w:customStyle="1" w:styleId="173">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3"/>
    <w:qFormat/>
    <w:uiPriority w:val="99"/>
    <w:rPr>
      <w:sz w:val="18"/>
    </w:rPr>
  </w:style>
  <w:style w:type="paragraph" w:customStyle="1" w:styleId="181">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left"/>
    </w:pPr>
    <w:rPr>
      <w:rFonts w:ascii="Times New Roman" w:hAnsi="Times New Roman" w:eastAsia="宋体" w:cs="Times New Roman"/>
      <w:color w:val="auto"/>
      <w:spacing w:val="0"/>
      <w:position w:val="0"/>
      <w:sz w:val="20"/>
      <w:szCs w:val="22"/>
      <w:lang w:val="en-US" w:eastAsia="en-US" w:bidi="en-US"/>
    </w:rPr>
  </w:style>
  <w:style w:type="character" w:customStyle="1" w:styleId="182">
    <w:name w:val="Balloon Text Char"/>
    <w:basedOn w:val="31"/>
    <w:link w:val="17"/>
    <w:semiHidden/>
    <w:qFormat/>
    <w:uiPriority w:val="99"/>
    <w:rPr>
      <w:rFonts w:cs="Times New Roman"/>
      <w:sz w:val="18"/>
      <w:szCs w:val="18"/>
    </w:rPr>
  </w:style>
  <w:style w:type="character" w:customStyle="1" w:styleId="183">
    <w:name w:val="Footer Char"/>
    <w:basedOn w:val="31"/>
    <w:link w:val="18"/>
    <w:semiHidden/>
    <w:qFormat/>
    <w:uiPriority w:val="99"/>
    <w:rPr>
      <w:rFonts w:ascii="Calibri" w:hAnsi="Calibri" w:eastAsia="宋体" w:cs="Times New Roman"/>
      <w:sz w:val="18"/>
      <w:szCs w:val="18"/>
    </w:rPr>
  </w:style>
  <w:style w:type="character" w:customStyle="1" w:styleId="184">
    <w:name w:val="Header Char"/>
    <w:basedOn w:val="31"/>
    <w:link w:val="19"/>
    <w:semiHidden/>
    <w:qFormat/>
    <w:uiPriority w:val="99"/>
    <w:rPr>
      <w:rFonts w:cs="Times New Roman"/>
      <w:sz w:val="18"/>
      <w:szCs w:val="18"/>
    </w:rPr>
  </w:style>
  <w:style w:type="character" w:customStyle="1" w:styleId="185">
    <w:name w:val="页脚 Char"/>
    <w:basedOn w:val="31"/>
    <w:link w:val="18"/>
    <w:qFormat/>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Pages>
  <Words>5968</Words>
  <Characters>6304</Characters>
  <TotalTime>34</TotalTime>
  <ScaleCrop>false</ScaleCrop>
  <LinksUpToDate>false</LinksUpToDate>
  <CharactersWithSpaces>6311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2020-03-08T04:30:00Z</dcterms:created>
  <dc:creator>adm</dc:creator>
  <cp:lastModifiedBy>张俊逸</cp:lastModifiedBy>
  <cp:lastPrinted>2025-03-25T10:01:00Z</cp:lastPrinted>
  <dcterms:modified xsi:type="dcterms:W3CDTF">2025-03-31T02:20:08Z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3FCA16585F534120A211521A2B6C3544_13</vt:lpwstr>
  </property>
  <property fmtid="{D5CDD505-2E9C-101B-9397-08002B2CF9AE}" pid="4" name="KSOTemplateDocerSaveRecord">
    <vt:lpwstr>eyJoZGlkIjoiOTY1M2FiZWI3YjA3YzEzNjZmMjI3ODE2NDYzMTg1YzQiLCJ1c2VySWQiOiIxNjQ1NTM0ODkxIn0=</vt:lpwstr>
  </property>
</Properties>
</file>