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1"/>
          <w:numId w:val="0"/>
        </w:numPr>
        <w:spacing w:before="0" w:line="560" w:lineRule="exact"/>
        <w:ind w:left="0" w:right="0" w:firstLine="0"/>
        <w:jc w:val="center"/>
        <w:rPr>
          <w:rFonts w:hint="eastAsia" w:ascii="方正小标宋简体" w:hAnsi="方正小标宋简体" w:eastAsia="方正小标宋简体" w:cs="方正小标宋简体"/>
          <w:sz w:val="44"/>
          <w:szCs w:val="44"/>
        </w:rPr>
      </w:pPr>
    </w:p>
    <w:p>
      <w:pPr>
        <w:numPr>
          <w:ilvl w:val="-1"/>
          <w:numId w:val="0"/>
        </w:numPr>
        <w:spacing w:before="0" w:line="560" w:lineRule="exact"/>
        <w:ind w:left="0" w:right="0" w:firstLine="0"/>
        <w:jc w:val="center"/>
        <w:rPr>
          <w:rFonts w:hint="eastAsia" w:ascii="方正小标宋简体" w:hAnsi="方正小标宋简体" w:eastAsia="方正小标宋简体" w:cs="方正小标宋简体"/>
          <w:sz w:val="44"/>
          <w:szCs w:val="44"/>
        </w:rPr>
      </w:pPr>
    </w:p>
    <w:p>
      <w:pPr>
        <w:numPr>
          <w:ilvl w:val="-1"/>
          <w:numId w:val="0"/>
        </w:numPr>
        <w:spacing w:before="0" w:line="560" w:lineRule="exact"/>
        <w:ind w:left="0" w:right="0" w:firstLine="0"/>
        <w:jc w:val="center"/>
        <w:rPr>
          <w:rFonts w:hint="eastAsia" w:ascii="方正小标宋简体" w:hAnsi="方正小标宋简体" w:eastAsia="方正小标宋简体" w:cs="方正小标宋简体"/>
          <w:sz w:val="44"/>
          <w:szCs w:val="44"/>
        </w:rPr>
      </w:pPr>
    </w:p>
    <w:p>
      <w:pPr>
        <w:numPr>
          <w:ilvl w:val="-1"/>
          <w:numId w:val="0"/>
        </w:numPr>
        <w:spacing w:before="0" w:line="560" w:lineRule="exact"/>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关于广州市花都区2024年度第十批次城镇建设用地（汽车产业基地园区基础建设智能</w:t>
      </w:r>
    </w:p>
    <w:p>
      <w:pPr>
        <w:numPr>
          <w:ilvl w:val="-1"/>
          <w:numId w:val="0"/>
        </w:numPr>
        <w:spacing w:before="0" w:line="560" w:lineRule="exact"/>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网联升级改造（黄冈中学广州学校实验</w:t>
      </w:r>
    </w:p>
    <w:p>
      <w:pPr>
        <w:numPr>
          <w:ilvl w:val="-1"/>
          <w:numId w:val="0"/>
        </w:numPr>
        <w:spacing w:before="0" w:line="560" w:lineRule="exact"/>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小学配套设施-岐山村南一街道路建设</w:t>
      </w:r>
    </w:p>
    <w:p>
      <w:pPr>
        <w:numPr>
          <w:ilvl w:val="-1"/>
          <w:numId w:val="0"/>
        </w:numPr>
        <w:spacing w:before="0" w:line="560" w:lineRule="exact"/>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工程））的征地补偿安置方案</w:t>
      </w:r>
    </w:p>
    <w:p>
      <w:pPr>
        <w:spacing w:before="7" w:line="560" w:lineRule="exact"/>
        <w:rPr>
          <w:rFonts w:ascii="Adobe 黑体 Std R" w:hAnsi="Adobe 黑体 Std R" w:eastAsia="Adobe 黑体 Std R" w:cs="Adobe 黑体 Std R"/>
          <w:sz w:val="34"/>
          <w:szCs w:val="34"/>
        </w:rPr>
      </w:pPr>
      <w:bookmarkStart w:id="0" w:name="_GoBack"/>
      <w:bookmarkEnd w:id="0"/>
    </w:p>
    <w:p>
      <w:pPr>
        <w:pStyle w:val="5"/>
        <w:keepNext w:val="0"/>
        <w:keepLines w:val="0"/>
        <w:pageBreakBefore w:val="0"/>
        <w:widowControl w:val="0"/>
        <w:kinsoku/>
        <w:wordWrap w:val="0"/>
        <w:overflowPunct/>
        <w:topLinePunct w:val="0"/>
        <w:autoSpaceDE/>
        <w:autoSpaceDN/>
        <w:bidi w:val="0"/>
        <w:adjustRightInd/>
        <w:snapToGrid/>
        <w:spacing w:before="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为实施广州市</w:t>
      </w:r>
      <w:r>
        <w:rPr>
          <w:rFonts w:hint="eastAsia" w:ascii="仿宋_GB2312" w:hAnsi="仿宋_GB2312" w:eastAsia="仿宋_GB2312" w:cs="仿宋_GB2312"/>
          <w:spacing w:val="-20"/>
          <w:sz w:val="32"/>
          <w:szCs w:val="32"/>
          <w:lang w:eastAsia="zh-CN"/>
        </w:rPr>
        <w:t>花都</w:t>
      </w:r>
      <w:r>
        <w:rPr>
          <w:rFonts w:hint="eastAsia" w:ascii="仿宋_GB2312" w:hAnsi="仿宋_GB2312" w:eastAsia="仿宋_GB2312" w:cs="仿宋_GB2312"/>
          <w:sz w:val="32"/>
          <w:szCs w:val="32"/>
        </w:rPr>
        <w:t>区</w:t>
      </w:r>
      <w:r>
        <w:rPr>
          <w:rFonts w:hint="eastAsia" w:ascii="仿宋_GB2312" w:hAnsi="仿宋_GB2312" w:eastAsia="仿宋_GB2312" w:cs="仿宋_GB2312"/>
          <w:spacing w:val="-20"/>
          <w:sz w:val="32"/>
          <w:szCs w:val="32"/>
          <w:lang w:val="en-US" w:eastAsia="zh-CN"/>
        </w:rPr>
        <w:t>秀全</w:t>
      </w:r>
      <w:r>
        <w:rPr>
          <w:rFonts w:hint="eastAsia" w:ascii="仿宋_GB2312" w:hAnsi="仿宋_GB2312" w:eastAsia="仿宋_GB2312" w:cs="仿宋_GB2312"/>
          <w:sz w:val="32"/>
          <w:szCs w:val="32"/>
          <w:lang w:eastAsia="zh-CN"/>
        </w:rPr>
        <w:t>街</w:t>
      </w:r>
      <w:r>
        <w:rPr>
          <w:rFonts w:hint="eastAsia" w:ascii="仿宋_GB2312" w:hAnsi="仿宋_GB2312" w:eastAsia="仿宋_GB2312" w:cs="仿宋_GB2312"/>
          <w:sz w:val="32"/>
          <w:szCs w:val="32"/>
        </w:rPr>
        <w:t>建设规划，完善城市功</w:t>
      </w:r>
      <w:r>
        <w:rPr>
          <w:rFonts w:hint="eastAsia" w:ascii="仿宋_GB2312" w:hAnsi="仿宋_GB2312" w:eastAsia="仿宋_GB2312" w:cs="仿宋_GB2312"/>
          <w:spacing w:val="6"/>
          <w:sz w:val="32"/>
          <w:szCs w:val="32"/>
        </w:rPr>
        <w:t>能</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改善城市环境，促进经济、文化发展，广州市</w:t>
      </w:r>
      <w:r>
        <w:rPr>
          <w:rFonts w:hint="eastAsia" w:ascii="仿宋_GB2312" w:hAnsi="仿宋_GB2312" w:eastAsia="仿宋_GB2312" w:cs="仿宋_GB2312"/>
          <w:spacing w:val="6"/>
          <w:sz w:val="32"/>
          <w:szCs w:val="32"/>
          <w:lang w:eastAsia="zh-CN"/>
        </w:rPr>
        <w:t>花都</w:t>
      </w:r>
      <w:r>
        <w:rPr>
          <w:rFonts w:hint="eastAsia" w:ascii="仿宋_GB2312" w:hAnsi="仿宋_GB2312" w:eastAsia="仿宋_GB2312" w:cs="仿宋_GB2312"/>
          <w:spacing w:val="3"/>
          <w:sz w:val="32"/>
          <w:szCs w:val="32"/>
        </w:rPr>
        <w:t>区人</w:t>
      </w:r>
      <w:r>
        <w:rPr>
          <w:rFonts w:hint="eastAsia" w:ascii="仿宋_GB2312" w:hAnsi="仿宋_GB2312" w:eastAsia="仿宋_GB2312" w:cs="仿宋_GB2312"/>
          <w:spacing w:val="5"/>
          <w:sz w:val="32"/>
          <w:szCs w:val="32"/>
        </w:rPr>
        <w:t>民政府拟征收</w:t>
      </w:r>
      <w:r>
        <w:rPr>
          <w:rFonts w:hint="eastAsia" w:ascii="仿宋_GB2312" w:hAnsi="仿宋_GB2312" w:eastAsia="仿宋_GB2312" w:cs="仿宋_GB2312"/>
          <w:spacing w:val="6"/>
          <w:sz w:val="32"/>
          <w:szCs w:val="32"/>
          <w:lang w:val="en-US" w:eastAsia="zh-CN"/>
        </w:rPr>
        <w:t>秀全街岐山</w:t>
      </w:r>
      <w:r>
        <w:rPr>
          <w:rFonts w:hint="eastAsia" w:ascii="仿宋_GB2312" w:hAnsi="仿宋_GB2312" w:eastAsia="仿宋_GB2312" w:cs="仿宋_GB2312"/>
          <w:spacing w:val="6"/>
          <w:sz w:val="32"/>
          <w:szCs w:val="32"/>
          <w:lang w:eastAsia="zh-CN"/>
        </w:rPr>
        <w:t>村</w:t>
      </w:r>
      <w:r>
        <w:rPr>
          <w:rFonts w:hint="eastAsia" w:ascii="仿宋_GB2312" w:hAnsi="仿宋_GB2312" w:eastAsia="仿宋_GB2312" w:cs="仿宋_GB2312"/>
          <w:spacing w:val="6"/>
          <w:sz w:val="32"/>
          <w:szCs w:val="32"/>
          <w:lang w:val="en-US" w:eastAsia="zh-CN"/>
        </w:rPr>
        <w:t>岐南</w:t>
      </w:r>
      <w:r>
        <w:rPr>
          <w:rFonts w:hint="eastAsia" w:ascii="仿宋_GB2312" w:hAnsi="仿宋_GB2312" w:eastAsia="仿宋_GB2312" w:cs="仿宋_GB2312"/>
          <w:spacing w:val="6"/>
          <w:sz w:val="32"/>
          <w:szCs w:val="32"/>
          <w:lang w:eastAsia="zh-CN"/>
        </w:rPr>
        <w:t>经济合作社、</w:t>
      </w:r>
      <w:r>
        <w:rPr>
          <w:rFonts w:hint="eastAsia" w:ascii="仿宋_GB2312" w:hAnsi="仿宋_GB2312" w:eastAsia="仿宋_GB2312" w:cs="仿宋_GB2312"/>
          <w:spacing w:val="6"/>
          <w:sz w:val="32"/>
          <w:szCs w:val="32"/>
          <w:lang w:val="en-US" w:eastAsia="zh-CN"/>
        </w:rPr>
        <w:t>岐东</w:t>
      </w:r>
      <w:r>
        <w:rPr>
          <w:rFonts w:hint="eastAsia" w:ascii="仿宋_GB2312" w:hAnsi="仿宋_GB2312" w:eastAsia="仿宋_GB2312" w:cs="仿宋_GB2312"/>
          <w:spacing w:val="6"/>
          <w:sz w:val="32"/>
          <w:szCs w:val="32"/>
          <w:lang w:eastAsia="zh-CN"/>
        </w:rPr>
        <w:t>经济合作社、</w:t>
      </w:r>
      <w:r>
        <w:rPr>
          <w:rFonts w:hint="eastAsia" w:ascii="仿宋_GB2312" w:hAnsi="仿宋_GB2312" w:eastAsia="仿宋_GB2312" w:cs="仿宋_GB2312"/>
          <w:spacing w:val="6"/>
          <w:sz w:val="32"/>
          <w:szCs w:val="32"/>
          <w:lang w:val="en-US" w:eastAsia="zh-CN"/>
        </w:rPr>
        <w:t>岐北</w:t>
      </w:r>
      <w:r>
        <w:rPr>
          <w:rFonts w:hint="eastAsia" w:ascii="仿宋_GB2312" w:hAnsi="仿宋_GB2312" w:eastAsia="仿宋_GB2312" w:cs="仿宋_GB2312"/>
          <w:spacing w:val="6"/>
          <w:sz w:val="32"/>
          <w:szCs w:val="32"/>
          <w:lang w:eastAsia="zh-CN"/>
        </w:rPr>
        <w:t>经济合作社、</w:t>
      </w:r>
      <w:r>
        <w:rPr>
          <w:rFonts w:hint="eastAsia" w:ascii="仿宋_GB2312" w:hAnsi="仿宋_GB2312" w:eastAsia="仿宋_GB2312" w:cs="仿宋_GB2312"/>
          <w:spacing w:val="6"/>
          <w:sz w:val="32"/>
          <w:szCs w:val="32"/>
          <w:lang w:val="en-US" w:eastAsia="zh-CN"/>
        </w:rPr>
        <w:t>岐山经济联合社</w:t>
      </w:r>
      <w:r>
        <w:rPr>
          <w:rFonts w:hint="eastAsia" w:ascii="仿宋_GB2312" w:hAnsi="仿宋_GB2312" w:eastAsia="仿宋_GB2312" w:cs="仿宋_GB2312"/>
          <w:spacing w:val="6"/>
          <w:sz w:val="32"/>
          <w:szCs w:val="32"/>
        </w:rPr>
        <w:t>属</w:t>
      </w:r>
      <w:r>
        <w:rPr>
          <w:rFonts w:hint="eastAsia" w:ascii="仿宋_GB2312" w:hAnsi="仿宋_GB2312" w:eastAsia="仿宋_GB2312" w:cs="仿宋_GB2312"/>
          <w:sz w:val="32"/>
          <w:szCs w:val="32"/>
        </w:rPr>
        <w:t>下的集体土地</w:t>
      </w:r>
      <w:r>
        <w:rPr>
          <w:rFonts w:hint="eastAsia" w:ascii="Times New Roman" w:hAnsi="Times New Roman" w:eastAsia="仿宋_GB2312" w:cs="Times New Roman"/>
          <w:sz w:val="32"/>
          <w:szCs w:val="32"/>
          <w:lang w:val="en-US" w:eastAsia="zh-CN"/>
        </w:rPr>
        <w:t>6.5641</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rPr>
        <w:t>根据《中华人民共和国土地管理法》第二条、第四十五条、第四十七条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《中华人民共和国土地管理法实施条例》第二十七条、第二十八条，以及《广东省</w:t>
      </w:r>
      <w:r>
        <w:rPr>
          <w:rFonts w:hint="eastAsia" w:ascii="仿宋_GB2312" w:hAnsi="仿宋_GB2312" w:eastAsia="仿宋_GB2312" w:cs="仿宋_GB2312"/>
          <w:spacing w:val="6"/>
          <w:sz w:val="32"/>
          <w:szCs w:val="32"/>
        </w:rPr>
        <w:t>土地管理条例》第三十条等规定，结合</w:t>
      </w:r>
      <w:r>
        <w:rPr>
          <w:rFonts w:hint="eastAsia" w:ascii="仿宋_GB2312" w:hAnsi="仿宋_GB2312" w:eastAsia="仿宋_GB2312" w:cs="仿宋_GB2312"/>
          <w:spacing w:val="6"/>
          <w:sz w:val="32"/>
          <w:szCs w:val="32"/>
          <w:lang w:eastAsia="zh-CN"/>
        </w:rPr>
        <w:t>花都</w:t>
      </w:r>
      <w:r>
        <w:rPr>
          <w:rFonts w:hint="eastAsia" w:ascii="仿宋_GB2312" w:hAnsi="仿宋_GB2312" w:eastAsia="仿宋_GB2312" w:cs="仿宋_GB2312"/>
          <w:spacing w:val="5"/>
          <w:sz w:val="32"/>
          <w:szCs w:val="32"/>
        </w:rPr>
        <w:t>区的征收农用地</w:t>
      </w:r>
      <w:r>
        <w:rPr>
          <w:rFonts w:hint="eastAsia" w:ascii="仿宋_GB2312" w:hAnsi="仿宋_GB2312" w:eastAsia="仿宋_GB2312" w:cs="仿宋_GB2312"/>
          <w:sz w:val="32"/>
          <w:szCs w:val="32"/>
        </w:rPr>
        <w:t>区片综合地价和实际情况，拟定了征地补偿安置方案，具体如下：</w:t>
      </w:r>
    </w:p>
    <w:p>
      <w:pPr>
        <w:pStyle w:val="5"/>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一、征收范围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eastAsia" w:ascii="Times New Roman" w:hAnsi="Times New Roman" w:eastAsia="仿宋_GB2312" w:cs="Times New Roman"/>
          <w:sz w:val="32"/>
          <w:szCs w:val="32"/>
          <w:lang w:val="en-US" w:eastAsia="zh-CN"/>
        </w:rPr>
        <w:t>秀全街岐山</w:t>
      </w:r>
      <w:r>
        <w:rPr>
          <w:rFonts w:hint="default" w:ascii="Times New Roman" w:hAnsi="Times New Roman" w:eastAsia="仿宋_GB2312" w:cs="Times New Roman"/>
          <w:sz w:val="32"/>
          <w:szCs w:val="32"/>
        </w:rPr>
        <w:t>村</w:t>
      </w:r>
      <w:r>
        <w:rPr>
          <w:rFonts w:hint="eastAsia" w:ascii="Times New Roman" w:hAnsi="Times New Roman" w:eastAsia="仿宋_GB2312" w:cs="Times New Roman"/>
          <w:sz w:val="32"/>
          <w:szCs w:val="32"/>
          <w:lang w:val="en-US" w:eastAsia="zh-CN"/>
        </w:rPr>
        <w:t>岐南</w:t>
      </w:r>
      <w:r>
        <w:rPr>
          <w:rFonts w:hint="default" w:ascii="Times New Roman" w:hAnsi="Times New Roman" w:eastAsia="仿宋_GB2312" w:cs="Times New Roman"/>
          <w:sz w:val="32"/>
          <w:szCs w:val="32"/>
        </w:rPr>
        <w:t>经济合作社、</w:t>
      </w:r>
      <w:r>
        <w:rPr>
          <w:rFonts w:hint="eastAsia" w:ascii="Times New Roman" w:hAnsi="Times New Roman" w:eastAsia="仿宋_GB2312" w:cs="Times New Roman"/>
          <w:sz w:val="32"/>
          <w:szCs w:val="32"/>
          <w:lang w:val="en-US" w:eastAsia="zh-CN"/>
        </w:rPr>
        <w:t>岐东</w:t>
      </w:r>
      <w:r>
        <w:rPr>
          <w:rFonts w:hint="default" w:ascii="Times New Roman" w:hAnsi="Times New Roman" w:eastAsia="仿宋_GB2312" w:cs="Times New Roman"/>
          <w:sz w:val="32"/>
          <w:szCs w:val="32"/>
        </w:rPr>
        <w:t>经济合作社、</w:t>
      </w:r>
      <w:r>
        <w:rPr>
          <w:rFonts w:hint="eastAsia" w:ascii="Times New Roman" w:hAnsi="Times New Roman" w:eastAsia="仿宋_GB2312" w:cs="Times New Roman"/>
          <w:sz w:val="32"/>
          <w:szCs w:val="32"/>
          <w:lang w:val="en-US" w:eastAsia="zh-CN"/>
        </w:rPr>
        <w:t>岐北</w:t>
      </w:r>
      <w:r>
        <w:rPr>
          <w:rFonts w:hint="default" w:ascii="Times New Roman" w:hAnsi="Times New Roman" w:eastAsia="仿宋_GB2312" w:cs="Times New Roman"/>
          <w:sz w:val="32"/>
          <w:szCs w:val="32"/>
        </w:rPr>
        <w:t>经济合作社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岐山经济联合社</w:t>
      </w:r>
      <w:r>
        <w:rPr>
          <w:rFonts w:hint="default" w:ascii="Times New Roman" w:hAnsi="Times New Roman" w:eastAsia="仿宋_GB2312" w:cs="Times New Roman"/>
          <w:sz w:val="32"/>
          <w:szCs w:val="32"/>
        </w:rPr>
        <w:t>范围内，具体位置详见附图。</w:t>
      </w:r>
    </w:p>
    <w:p>
      <w:pPr>
        <w:pStyle w:val="5"/>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实际征收土地范围以最终批准文件为准。</w:t>
      </w:r>
    </w:p>
    <w:p>
      <w:pPr>
        <w:pStyle w:val="5"/>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二、征收目的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根据《中华人民共和国土地管理法》第四十五条的规定，本次征收土地目的为了公共利益的需</w:t>
      </w:r>
      <w:r>
        <w:rPr>
          <w:rFonts w:hint="default" w:ascii="Times New Roman" w:hAnsi="Times New Roman" w:eastAsia="仿宋_GB2312" w:cs="Times New Roman"/>
          <w:color w:val="auto"/>
          <w:sz w:val="32"/>
          <w:szCs w:val="32"/>
          <w:highlight w:val="none"/>
        </w:rPr>
        <w:t>要，由政府组织实施的能源、交通、水利、通信、邮政等基础设施建设需要用地，拟征收土地规划用途为</w:t>
      </w:r>
      <w:r>
        <w:rPr>
          <w:rFonts w:hint="eastAsia" w:ascii="Times New Roman" w:hAnsi="Times New Roman" w:eastAsia="仿宋_GB2312" w:cs="Times New Roman"/>
          <w:color w:val="auto"/>
          <w:sz w:val="32"/>
          <w:szCs w:val="32"/>
          <w:highlight w:val="none"/>
          <w:lang w:val="en-US" w:eastAsia="zh-CN"/>
        </w:rPr>
        <w:t>交通运输</w:t>
      </w:r>
      <w:r>
        <w:rPr>
          <w:rFonts w:hint="default" w:ascii="Times New Roman" w:hAnsi="Times New Roman" w:eastAsia="仿宋_GB2312" w:cs="Times New Roman"/>
          <w:color w:val="auto"/>
          <w:sz w:val="32"/>
          <w:szCs w:val="32"/>
          <w:highlight w:val="none"/>
        </w:rPr>
        <w:t>用地，用地报批组卷批次号为广</w:t>
      </w:r>
      <w:r>
        <w:rPr>
          <w:rFonts w:hint="default" w:ascii="Times New Roman" w:hAnsi="Times New Roman" w:eastAsia="仿宋_GB2312" w:cs="Times New Roman"/>
          <w:sz w:val="32"/>
          <w:szCs w:val="32"/>
          <w:highlight w:val="none"/>
        </w:rPr>
        <w:t>州市花都区202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年度第</w:t>
      </w:r>
      <w:r>
        <w:rPr>
          <w:rFonts w:hint="eastAsia" w:ascii="Times New Roman" w:hAnsi="Times New Roman" w:eastAsia="仿宋_GB2312" w:cs="Times New Roman"/>
          <w:sz w:val="32"/>
          <w:szCs w:val="32"/>
          <w:highlight w:val="none"/>
          <w:lang w:val="en-US" w:eastAsia="zh-CN"/>
        </w:rPr>
        <w:t>十</w:t>
      </w:r>
      <w:r>
        <w:rPr>
          <w:rFonts w:hint="default" w:ascii="Times New Roman" w:hAnsi="Times New Roman" w:eastAsia="仿宋_GB2312" w:cs="Times New Roman"/>
          <w:sz w:val="32"/>
          <w:szCs w:val="32"/>
          <w:highlight w:val="none"/>
        </w:rPr>
        <w:t>批次城镇建设用地。</w:t>
      </w:r>
    </w:p>
    <w:p>
      <w:pPr>
        <w:pStyle w:val="5"/>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三、土地现状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w:t>
      </w:r>
      <w:r>
        <w:rPr>
          <w:rFonts w:hint="default" w:ascii="Times New Roman" w:hAnsi="Times New Roman" w:eastAsia="仿宋_GB2312" w:cs="Times New Roman"/>
          <w:sz w:val="32"/>
          <w:szCs w:val="32"/>
          <w:highlight w:val="none"/>
        </w:rPr>
        <w:t>收广州市花都区</w:t>
      </w:r>
      <w:r>
        <w:rPr>
          <w:rFonts w:hint="eastAsia" w:ascii="Times New Roman" w:hAnsi="Times New Roman" w:eastAsia="仿宋_GB2312" w:cs="Times New Roman"/>
          <w:sz w:val="32"/>
          <w:szCs w:val="32"/>
          <w:highlight w:val="none"/>
          <w:lang w:val="en-US" w:eastAsia="zh-CN"/>
        </w:rPr>
        <w:t>秀全街岐</w:t>
      </w:r>
      <w:r>
        <w:rPr>
          <w:rFonts w:hint="eastAsia" w:ascii="Times New Roman" w:hAnsi="Times New Roman" w:eastAsia="仿宋_GB2312" w:cs="Times New Roman"/>
          <w:sz w:val="32"/>
          <w:szCs w:val="32"/>
          <w:lang w:val="en-US" w:eastAsia="zh-CN"/>
        </w:rPr>
        <w:t>山</w:t>
      </w:r>
      <w:r>
        <w:rPr>
          <w:rFonts w:hint="default" w:ascii="Times New Roman" w:hAnsi="Times New Roman" w:eastAsia="仿宋_GB2312" w:cs="Times New Roman"/>
          <w:sz w:val="32"/>
          <w:szCs w:val="32"/>
        </w:rPr>
        <w:t>村</w:t>
      </w:r>
      <w:r>
        <w:rPr>
          <w:rFonts w:hint="eastAsia" w:ascii="Times New Roman" w:hAnsi="Times New Roman" w:eastAsia="仿宋_GB2312" w:cs="Times New Roman"/>
          <w:sz w:val="32"/>
          <w:szCs w:val="32"/>
          <w:lang w:val="en-US" w:eastAsia="zh-CN"/>
        </w:rPr>
        <w:t>岐南</w:t>
      </w:r>
      <w:r>
        <w:rPr>
          <w:rFonts w:hint="default" w:ascii="Times New Roman" w:hAnsi="Times New Roman" w:eastAsia="仿宋_GB2312" w:cs="Times New Roman"/>
          <w:sz w:val="32"/>
          <w:szCs w:val="32"/>
        </w:rPr>
        <w:t>经济合作社、</w:t>
      </w:r>
      <w:r>
        <w:rPr>
          <w:rFonts w:hint="eastAsia" w:ascii="Times New Roman" w:hAnsi="Times New Roman" w:eastAsia="仿宋_GB2312" w:cs="Times New Roman"/>
          <w:sz w:val="32"/>
          <w:szCs w:val="32"/>
          <w:lang w:val="en-US" w:eastAsia="zh-CN"/>
        </w:rPr>
        <w:t>岐东</w:t>
      </w:r>
      <w:r>
        <w:rPr>
          <w:rFonts w:hint="default" w:ascii="Times New Roman" w:hAnsi="Times New Roman" w:eastAsia="仿宋_GB2312" w:cs="Times New Roman"/>
          <w:sz w:val="32"/>
          <w:szCs w:val="32"/>
        </w:rPr>
        <w:t>经济合作社、</w:t>
      </w:r>
      <w:r>
        <w:rPr>
          <w:rFonts w:hint="eastAsia" w:ascii="Times New Roman" w:hAnsi="Times New Roman" w:eastAsia="仿宋_GB2312" w:cs="Times New Roman"/>
          <w:sz w:val="32"/>
          <w:szCs w:val="32"/>
          <w:lang w:val="en-US" w:eastAsia="zh-CN"/>
        </w:rPr>
        <w:t>岐北</w:t>
      </w:r>
      <w:r>
        <w:rPr>
          <w:rFonts w:hint="default" w:ascii="Times New Roman" w:hAnsi="Times New Roman" w:eastAsia="仿宋_GB2312" w:cs="Times New Roman"/>
          <w:sz w:val="32"/>
          <w:szCs w:val="32"/>
        </w:rPr>
        <w:t>经济合作社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岐山经济联合社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eastAsia" w:ascii="Times New Roman" w:hAnsi="Times New Roman" w:eastAsia="仿宋_GB2312" w:cs="Times New Roman"/>
          <w:sz w:val="32"/>
          <w:szCs w:val="32"/>
          <w:lang w:val="en-US" w:eastAsia="zh-CN"/>
        </w:rPr>
        <w:t>6.5641</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98.4615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。其中农用地</w:t>
      </w:r>
      <w:r>
        <w:rPr>
          <w:rFonts w:hint="eastAsia" w:ascii="Times New Roman" w:hAnsi="Times New Roman" w:eastAsia="仿宋_GB2312" w:cs="Times New Roman"/>
          <w:sz w:val="32"/>
          <w:szCs w:val="32"/>
          <w:highlight w:val="none"/>
          <w:lang w:val="en-US" w:eastAsia="zh-CN"/>
        </w:rPr>
        <w:t>2.8517</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42.7755</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其中</w:t>
      </w:r>
      <w:r>
        <w:rPr>
          <w:rFonts w:hint="default" w:ascii="Times New Roman" w:hAnsi="Times New Roman" w:eastAsia="仿宋_GB2312" w:cs="Times New Roman"/>
          <w:sz w:val="32"/>
          <w:szCs w:val="32"/>
        </w:rPr>
        <w:t>耕地</w:t>
      </w:r>
      <w:r>
        <w:rPr>
          <w:rFonts w:hint="eastAsia" w:ascii="Times New Roman" w:hAnsi="Times New Roman" w:eastAsia="仿宋_GB2312" w:cs="Times New Roman"/>
          <w:sz w:val="32"/>
          <w:szCs w:val="32"/>
          <w:lang w:val="en-US" w:eastAsia="zh-CN"/>
        </w:rPr>
        <w:t>0.8316公顷</w:t>
      </w:r>
      <w:r>
        <w:rPr>
          <w:rFonts w:hint="default" w:ascii="Times New Roman" w:hAnsi="Times New Roman" w:eastAsia="仿宋_GB2312" w:cs="Times New Roman"/>
          <w:sz w:val="32"/>
          <w:szCs w:val="32"/>
        </w:rPr>
        <w:t>；建设用地</w:t>
      </w:r>
      <w:r>
        <w:rPr>
          <w:rFonts w:hint="eastAsia" w:ascii="Times New Roman" w:hAnsi="Times New Roman" w:eastAsia="仿宋_GB2312" w:cs="Times New Roman"/>
          <w:sz w:val="32"/>
          <w:szCs w:val="32"/>
          <w:lang w:val="en-US" w:eastAsia="zh-CN"/>
        </w:rPr>
        <w:t>3.2039</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48.0585</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；未利用地</w:t>
      </w:r>
      <w:r>
        <w:rPr>
          <w:rFonts w:hint="eastAsia" w:ascii="Times New Roman" w:hAnsi="Times New Roman" w:eastAsia="仿宋_GB2312" w:cs="Times New Roman"/>
          <w:sz w:val="32"/>
          <w:szCs w:val="32"/>
          <w:lang w:val="en-US" w:eastAsia="zh-CN"/>
        </w:rPr>
        <w:t>0.5085公顷（7.6275亩）</w:t>
      </w:r>
      <w:r>
        <w:rPr>
          <w:rFonts w:hint="default" w:ascii="Times New Roman" w:hAnsi="Times New Roman" w:eastAsia="仿宋_GB2312" w:cs="Times New Roman"/>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四、补偿方式和标准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rPr>
        <w:t>根据《广东省自然资源厅关于广州市征收农用地区片综合地价成果</w:t>
      </w:r>
      <w:r>
        <w:rPr>
          <w:rFonts w:hint="default" w:ascii="Times New Roman" w:hAnsi="Times New Roman" w:eastAsia="仿宋_GB2312" w:cs="Times New Roman"/>
          <w:color w:val="auto"/>
          <w:sz w:val="32"/>
          <w:szCs w:val="32"/>
          <w:highlight w:val="none"/>
        </w:rPr>
        <w:t>的批复》（</w:t>
      </w:r>
      <w:r>
        <w:rPr>
          <w:rFonts w:hint="default" w:ascii="Times New Roman" w:hAnsi="Times New Roman" w:eastAsia="仿宋_GB2312" w:cs="Times New Roman"/>
          <w:sz w:val="32"/>
          <w:szCs w:val="32"/>
        </w:rPr>
        <w:t>粤自然资函〔202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103</w:t>
      </w:r>
      <w:r>
        <w:rPr>
          <w:rFonts w:hint="default" w:ascii="Times New Roman" w:hAnsi="Times New Roman" w:eastAsia="仿宋_GB2312" w:cs="Times New Roman"/>
          <w:sz w:val="32"/>
          <w:szCs w:val="32"/>
        </w:rPr>
        <w:t>号</w:t>
      </w:r>
      <w:r>
        <w:rPr>
          <w:rFonts w:hint="default" w:ascii="Times New Roman" w:hAnsi="Times New Roman" w:eastAsia="仿宋_GB2312" w:cs="Times New Roman"/>
          <w:color w:val="auto"/>
          <w:sz w:val="32"/>
          <w:szCs w:val="32"/>
          <w:highlight w:val="none"/>
        </w:rPr>
        <w:t>）的规定，征收集体农用地按</w:t>
      </w:r>
      <w:r>
        <w:rPr>
          <w:rFonts w:hint="eastAsia" w:ascii="Times New Roman" w:hAnsi="Times New Roman" w:eastAsia="仿宋_GB2312" w:cs="Times New Roman"/>
          <w:color w:val="auto"/>
          <w:sz w:val="32"/>
          <w:szCs w:val="32"/>
          <w:highlight w:val="none"/>
          <w:lang w:val="en-US" w:eastAsia="zh-CN"/>
        </w:rPr>
        <w:t>240</w:t>
      </w:r>
      <w:r>
        <w:rPr>
          <w:rFonts w:hint="default" w:ascii="Times New Roman" w:hAnsi="Times New Roman" w:eastAsia="仿宋_GB2312" w:cs="Times New Roman"/>
          <w:color w:val="auto"/>
          <w:sz w:val="32"/>
          <w:szCs w:val="32"/>
          <w:highlight w:val="none"/>
        </w:rPr>
        <w:t>万元/公顷补偿（其中，土地补偿费</w:t>
      </w:r>
      <w:r>
        <w:rPr>
          <w:rFonts w:hint="eastAsia" w:ascii="Times New Roman" w:hAnsi="Times New Roman" w:eastAsia="仿宋_GB2312" w:cs="Times New Roman"/>
          <w:color w:val="auto"/>
          <w:sz w:val="32"/>
          <w:szCs w:val="32"/>
          <w:highlight w:val="none"/>
          <w:lang w:val="en-US" w:eastAsia="zh-CN"/>
        </w:rPr>
        <w:t>120</w:t>
      </w:r>
      <w:r>
        <w:rPr>
          <w:rFonts w:hint="default" w:ascii="Times New Roman" w:hAnsi="Times New Roman" w:eastAsia="仿宋_GB2312" w:cs="Times New Roman"/>
          <w:color w:val="auto"/>
          <w:sz w:val="32"/>
          <w:szCs w:val="32"/>
          <w:highlight w:val="none"/>
        </w:rPr>
        <w:t>万元/公顷、安置补助费</w:t>
      </w:r>
      <w:r>
        <w:rPr>
          <w:rFonts w:hint="eastAsia" w:ascii="Times New Roman" w:hAnsi="Times New Roman" w:eastAsia="仿宋_GB2312" w:cs="Times New Roman"/>
          <w:color w:val="auto"/>
          <w:sz w:val="32"/>
          <w:szCs w:val="32"/>
          <w:highlight w:val="none"/>
          <w:lang w:val="en-US" w:eastAsia="zh-CN"/>
        </w:rPr>
        <w:t>120</w:t>
      </w:r>
      <w:r>
        <w:rPr>
          <w:rFonts w:hint="default" w:ascii="Times New Roman" w:hAnsi="Times New Roman" w:eastAsia="仿宋_GB2312" w:cs="Times New Roman"/>
          <w:color w:val="auto"/>
          <w:sz w:val="32"/>
          <w:szCs w:val="32"/>
          <w:highlight w:val="none"/>
        </w:rPr>
        <w:t>万元/公顷）、建设用地和未利用地按</w:t>
      </w:r>
      <w:r>
        <w:rPr>
          <w:rFonts w:hint="eastAsia" w:ascii="Times New Roman" w:hAnsi="Times New Roman" w:eastAsia="仿宋_GB2312" w:cs="Times New Roman"/>
          <w:color w:val="auto"/>
          <w:sz w:val="32"/>
          <w:szCs w:val="32"/>
          <w:highlight w:val="none"/>
          <w:lang w:val="en-US" w:eastAsia="zh-CN"/>
        </w:rPr>
        <w:t>240</w:t>
      </w:r>
      <w:r>
        <w:rPr>
          <w:rFonts w:hint="default" w:ascii="Times New Roman" w:hAnsi="Times New Roman" w:eastAsia="仿宋_GB2312" w:cs="Times New Roman"/>
          <w:color w:val="auto"/>
          <w:sz w:val="32"/>
          <w:szCs w:val="32"/>
          <w:highlight w:val="none"/>
        </w:rPr>
        <w:t>万元/公顷的标准补偿。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sz w:val="32"/>
          <w:szCs w:val="32"/>
          <w:highlight w:val="none"/>
        </w:rPr>
        <w:t>农村村民住宅</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青苗及其他地上附着物补偿</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sz w:val="32"/>
          <w:szCs w:val="32"/>
          <w:highlight w:val="none"/>
        </w:rPr>
        <w:t>青苗及其他地上附着物</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p>
      <w:pPr>
        <w:pStyle w:val="5"/>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五、安置对象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pPr>
        <w:pStyle w:val="5"/>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六、安置方式和社会保障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（一）货币安置。所需费用已包含在土地补偿安置费中。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lang w:eastAsia="zh-CN"/>
        </w:rPr>
        <w:t>、参照</w:t>
      </w:r>
      <w:r>
        <w:rPr>
          <w:rFonts w:hint="default" w:ascii="Times New Roman" w:hAnsi="Times New Roman" w:eastAsia="仿宋_GB2312" w:cs="Times New Roman"/>
          <w:sz w:val="32"/>
          <w:szCs w:val="32"/>
        </w:rPr>
        <w:t>《广州市人民政府办公厅关于进一步加强征收农村集体</w:t>
      </w:r>
      <w:r>
        <w:rPr>
          <w:rFonts w:hint="default" w:ascii="Times New Roman" w:hAnsi="Times New Roman" w:eastAsia="仿宋_GB2312" w:cs="Times New Roman"/>
          <w:color w:val="auto"/>
          <w:sz w:val="32"/>
          <w:szCs w:val="32"/>
          <w:highlight w:val="none"/>
        </w:rPr>
        <w:t>土地留用地管理的意见》（穗府办规〔2018〕17号）相关规定，按实际征收土地面积的</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%安排留用地，留用地兑现方式为</w:t>
      </w:r>
      <w:r>
        <w:rPr>
          <w:rFonts w:hint="eastAsia" w:ascii="Times New Roman" w:hAnsi="Times New Roman" w:eastAsia="仿宋_GB2312" w:cs="Times New Roman"/>
          <w:color w:val="auto"/>
          <w:sz w:val="32"/>
          <w:szCs w:val="32"/>
          <w:highlight w:val="none"/>
          <w:lang w:val="en-US" w:eastAsia="zh-CN"/>
        </w:rPr>
        <w:t>实物留地</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t>（三）社会保障费用。根据《广东省人民政府办公厅转发省人力资源社会保障厅关</w:t>
      </w:r>
      <w:r>
        <w:rPr>
          <w:rFonts w:hint="default" w:ascii="Times New Roman" w:hAnsi="Times New Roman" w:eastAsia="仿宋_GB2312" w:cs="Times New Roman"/>
          <w:sz w:val="32"/>
          <w:szCs w:val="32"/>
        </w:rPr>
        <w:t>于进一步完善我省被征地农民养老保障政策意见的通知》（粤府办〔2021〕22号</w:t>
      </w:r>
      <w:r>
        <w:rPr>
          <w:rFonts w:hint="default" w:ascii="Times New Roman" w:hAnsi="Times New Roman" w:eastAsia="仿宋_GB2312" w:cs="Times New Roman"/>
          <w:sz w:val="32"/>
          <w:szCs w:val="32"/>
          <w:u w:val="none"/>
        </w:rPr>
        <w:t>）规定，</w:t>
      </w:r>
      <w:r>
        <w:rPr>
          <w:rFonts w:hint="eastAsia" w:ascii="仿宋_GB2312" w:hAnsi="仿宋_GB2312" w:eastAsia="仿宋_GB2312" w:cs="仿宋_GB2312"/>
          <w:color w:val="auto"/>
          <w:sz w:val="32"/>
          <w:szCs w:val="32"/>
          <w:u w:val="none"/>
        </w:rPr>
        <w:t>核定</w:t>
      </w:r>
      <w:r>
        <w:rPr>
          <w:rFonts w:hint="eastAsia" w:ascii="仿宋_GB2312" w:hAnsi="仿宋_GB2312" w:eastAsia="仿宋_GB2312" w:cs="仿宋_GB2312"/>
          <w:color w:val="auto"/>
          <w:sz w:val="32"/>
          <w:szCs w:val="32"/>
          <w:u w:val="none"/>
          <w:lang w:eastAsia="zh-CN"/>
        </w:rPr>
        <w:t>该</w:t>
      </w:r>
      <w:r>
        <w:rPr>
          <w:rFonts w:hint="eastAsia" w:ascii="仿宋_GB2312" w:hAnsi="仿宋_GB2312" w:eastAsia="仿宋_GB2312" w:cs="仿宋_GB2312"/>
          <w:color w:val="auto"/>
          <w:sz w:val="32"/>
          <w:szCs w:val="32"/>
          <w:u w:val="none"/>
        </w:rPr>
        <w:t>项目涉及应纳入养老保障范围的被征地农民人数</w:t>
      </w:r>
      <w:r>
        <w:rPr>
          <w:rFonts w:hint="eastAsia" w:ascii="仿宋_GB2312" w:hAnsi="仿宋_GB2312" w:eastAsia="仿宋_GB2312" w:cs="仿宋_GB2312"/>
          <w:color w:val="auto"/>
          <w:sz w:val="32"/>
          <w:szCs w:val="32"/>
          <w:u w:val="none"/>
          <w:lang w:eastAsia="zh-CN"/>
        </w:rPr>
        <w:t>共</w:t>
      </w:r>
      <w:r>
        <w:rPr>
          <w:rFonts w:hint="eastAsia" w:ascii="Times New Roman" w:hAnsi="Times New Roman" w:eastAsia="仿宋_GB2312" w:cs="Times New Roman"/>
          <w:color w:val="auto"/>
          <w:sz w:val="32"/>
          <w:szCs w:val="32"/>
          <w:highlight w:val="none"/>
          <w:u w:val="none"/>
          <w:lang w:val="en-US" w:eastAsia="zh-CN"/>
        </w:rPr>
        <w:t>161</w:t>
      </w:r>
      <w:r>
        <w:rPr>
          <w:rFonts w:hint="eastAsia" w:ascii="仿宋_GB2312" w:hAnsi="仿宋_GB2312" w:eastAsia="仿宋_GB2312" w:cs="仿宋_GB2312"/>
          <w:color w:val="auto"/>
          <w:sz w:val="32"/>
          <w:szCs w:val="32"/>
          <w:highlight w:val="none"/>
          <w:u w:val="none"/>
        </w:rPr>
        <w:t>人，按每人</w:t>
      </w:r>
      <w:r>
        <w:rPr>
          <w:rFonts w:hint="default" w:ascii="Times New Roman" w:hAnsi="Times New Roman" w:eastAsia="仿宋_GB2312" w:cs="Times New Roman"/>
          <w:color w:val="auto"/>
          <w:sz w:val="32"/>
          <w:szCs w:val="32"/>
          <w:highlight w:val="none"/>
          <w:u w:val="none"/>
        </w:rPr>
        <w:t>16200元</w:t>
      </w:r>
      <w:r>
        <w:rPr>
          <w:rFonts w:hint="default" w:ascii="Times New Roman" w:hAnsi="Times New Roman" w:eastAsia="仿宋_GB2312" w:cs="Times New Roman"/>
          <w:color w:val="auto"/>
          <w:sz w:val="32"/>
          <w:szCs w:val="32"/>
          <w:highlight w:val="none"/>
          <w:u w:val="none"/>
          <w:lang w:eastAsia="zh-CN"/>
        </w:rPr>
        <w:t>的</w:t>
      </w:r>
      <w:r>
        <w:rPr>
          <w:rFonts w:hint="default" w:ascii="Times New Roman" w:hAnsi="Times New Roman" w:eastAsia="仿宋_GB2312" w:cs="Times New Roman"/>
          <w:color w:val="auto"/>
          <w:sz w:val="32"/>
          <w:szCs w:val="32"/>
          <w:highlight w:val="none"/>
          <w:u w:val="none"/>
        </w:rPr>
        <w:t>标准</w:t>
      </w:r>
      <w:r>
        <w:rPr>
          <w:rFonts w:hint="default" w:ascii="Times New Roman" w:hAnsi="Times New Roman" w:eastAsia="仿宋_GB2312" w:cs="Times New Roman"/>
          <w:color w:val="auto"/>
          <w:sz w:val="32"/>
          <w:szCs w:val="32"/>
          <w:u w:val="none"/>
        </w:rPr>
        <w:t>一次性</w:t>
      </w:r>
      <w:r>
        <w:rPr>
          <w:rFonts w:hint="eastAsia" w:ascii="Times New Roman" w:hAnsi="Times New Roman" w:eastAsia="仿宋_GB2312" w:cs="Times New Roman"/>
          <w:color w:val="auto"/>
          <w:sz w:val="32"/>
          <w:szCs w:val="32"/>
          <w:highlight w:val="none"/>
          <w:u w:val="none"/>
          <w:lang w:eastAsia="zh-CN"/>
        </w:rPr>
        <w:t>将</w:t>
      </w:r>
      <w:r>
        <w:rPr>
          <w:rFonts w:hint="default" w:ascii="Times New Roman" w:hAnsi="Times New Roman" w:eastAsia="仿宋_GB2312" w:cs="Times New Roman"/>
          <w:sz w:val="32"/>
          <w:szCs w:val="32"/>
          <w:u w:val="none"/>
        </w:rPr>
        <w:t>集体被征地农民</w:t>
      </w:r>
      <w:r>
        <w:rPr>
          <w:rFonts w:hint="default" w:ascii="Times New Roman" w:hAnsi="Times New Roman" w:eastAsia="仿宋_GB2312" w:cs="Times New Roman"/>
          <w:sz w:val="32"/>
          <w:szCs w:val="32"/>
        </w:rPr>
        <w:t>养老保障资金存入“收缴被征地农民养老保障资金过渡户”，费用合计</w:t>
      </w:r>
      <w:r>
        <w:rPr>
          <w:rFonts w:hint="eastAsia" w:ascii="Times New Roman" w:hAnsi="Times New Roman" w:eastAsia="仿宋_GB2312" w:cs="Times New Roman"/>
          <w:color w:val="auto"/>
          <w:sz w:val="32"/>
          <w:szCs w:val="32"/>
          <w:highlight w:val="none"/>
          <w:u w:val="none"/>
          <w:lang w:val="en-US" w:eastAsia="zh-CN"/>
        </w:rPr>
        <w:t>260.82</w:t>
      </w:r>
      <w:r>
        <w:rPr>
          <w:rFonts w:hint="default" w:ascii="Times New Roman" w:hAnsi="Times New Roman" w:eastAsia="仿宋_GB2312" w:cs="Times New Roman"/>
          <w:sz w:val="32"/>
          <w:szCs w:val="32"/>
        </w:rPr>
        <w:t>万元，专款用于被征地农民缴纳养老保险费用。征地批准文件批复的实际范围有变化的，费用将做相应调整。</w:t>
      </w:r>
    </w:p>
    <w:p>
      <w:pPr>
        <w:pStyle w:val="5"/>
        <w:widowControl w:val="0"/>
        <w:numPr>
          <w:ilvl w:val="0"/>
          <w:numId w:val="0"/>
        </w:numPr>
        <w:spacing w:before="10" w:after="0" w:line="520" w:lineRule="exact"/>
        <w:ind w:right="111" w:rightChars="0"/>
        <w:jc w:val="both"/>
        <w:rPr>
          <w:rFonts w:hint="eastAsia" w:ascii="仿宋_GB2312" w:hAnsi="仿宋_GB2312" w:eastAsia="仿宋_GB2312" w:cs="仿宋_GB2312"/>
          <w:sz w:val="32"/>
          <w:szCs w:val="32"/>
        </w:rPr>
      </w:pPr>
    </w:p>
    <w:p>
      <w:pPr>
        <w:pStyle w:val="5"/>
        <w:spacing w:before="0" w:line="520" w:lineRule="exact"/>
        <w:ind w:left="0" w:right="260"/>
        <w:jc w:val="right"/>
        <w:rPr>
          <w:rFonts w:hint="eastAsia" w:ascii="仿宋_GB2312" w:hAnsi="仿宋_GB2312" w:eastAsia="仿宋_GB2312" w:cs="仿宋_GB2312"/>
          <w:sz w:val="32"/>
          <w:szCs w:val="32"/>
        </w:rPr>
      </w:pPr>
    </w:p>
    <w:p>
      <w:pPr>
        <w:pStyle w:val="5"/>
        <w:spacing w:before="0" w:line="520" w:lineRule="exact"/>
        <w:ind w:left="0" w:right="260"/>
        <w:jc w:val="right"/>
        <w:rPr>
          <w:rFonts w:hint="eastAsia" w:ascii="仿宋_GB2312" w:hAnsi="仿宋_GB2312" w:eastAsia="仿宋_GB2312" w:cs="仿宋_GB2312"/>
          <w:sz w:val="32"/>
          <w:szCs w:val="32"/>
        </w:rPr>
      </w:pPr>
    </w:p>
    <w:p>
      <w:pPr>
        <w:pStyle w:val="5"/>
        <w:spacing w:before="0" w:line="520" w:lineRule="exact"/>
        <w:ind w:left="0" w:right="2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w:t>
      </w:r>
      <w:r>
        <w:rPr>
          <w:rFonts w:hint="eastAsia" w:ascii="仿宋_GB2312" w:hAnsi="仿宋_GB2312" w:eastAsia="仿宋_GB2312" w:cs="仿宋_GB2312"/>
          <w:sz w:val="32"/>
          <w:szCs w:val="32"/>
          <w:lang w:eastAsia="zh-CN"/>
        </w:rPr>
        <w:t>规划和自然资源局花都区分局</w:t>
      </w:r>
    </w:p>
    <w:p>
      <w:pPr>
        <w:pStyle w:val="5"/>
        <w:spacing w:line="520" w:lineRule="exact"/>
        <w:ind w:left="2420" w:leftChars="1100" w:right="260"/>
        <w:jc w:val="center"/>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pacing w:val="-35"/>
          <w:sz w:val="32"/>
          <w:szCs w:val="32"/>
          <w:highlight w:val="none"/>
          <w:lang w:val="en-US" w:eastAsia="zh-CN"/>
        </w:rPr>
        <w:t>23</w:t>
      </w:r>
      <w:r>
        <w:rPr>
          <w:rFonts w:hint="default" w:ascii="Times New Roman" w:hAnsi="Times New Roman" w:eastAsia="仿宋_GB2312" w:cs="Times New Roman"/>
          <w:sz w:val="32"/>
          <w:szCs w:val="32"/>
          <w:highlight w:val="none"/>
        </w:rPr>
        <w:t>日</w:t>
      </w:r>
    </w:p>
    <w:sectPr>
      <w:footerReference r:id="rId5" w:type="default"/>
      <w:pgSz w:w="11910" w:h="16840"/>
      <w:pgMar w:top="1520" w:right="1540" w:bottom="1160" w:left="168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DQ3YTY0ZmU0ODAzMjllMWJjZjk3MzdhMDJmMzMwODYifQ=="/>
  </w:docVars>
  <w:rsids>
    <w:rsidRoot w:val="00000000"/>
    <w:rsid w:val="022A33E1"/>
    <w:rsid w:val="04654DC4"/>
    <w:rsid w:val="0822151D"/>
    <w:rsid w:val="08682950"/>
    <w:rsid w:val="08D87341"/>
    <w:rsid w:val="0BC12118"/>
    <w:rsid w:val="0C890300"/>
    <w:rsid w:val="161B7A15"/>
    <w:rsid w:val="162B00EE"/>
    <w:rsid w:val="16E50DE0"/>
    <w:rsid w:val="18D9185B"/>
    <w:rsid w:val="19977D8A"/>
    <w:rsid w:val="219E39B8"/>
    <w:rsid w:val="21B240AF"/>
    <w:rsid w:val="25477C36"/>
    <w:rsid w:val="25811128"/>
    <w:rsid w:val="29C73F17"/>
    <w:rsid w:val="2AD371FE"/>
    <w:rsid w:val="2BE439BC"/>
    <w:rsid w:val="2C233B4A"/>
    <w:rsid w:val="2F2F33BB"/>
    <w:rsid w:val="33085EB0"/>
    <w:rsid w:val="34394804"/>
    <w:rsid w:val="34CC172C"/>
    <w:rsid w:val="39A42B0C"/>
    <w:rsid w:val="3B8E0546"/>
    <w:rsid w:val="3D4536F5"/>
    <w:rsid w:val="41E161C0"/>
    <w:rsid w:val="46753A21"/>
    <w:rsid w:val="47EA5951"/>
    <w:rsid w:val="4AE747B0"/>
    <w:rsid w:val="4FDC68BF"/>
    <w:rsid w:val="505F6CEB"/>
    <w:rsid w:val="510A4732"/>
    <w:rsid w:val="54382FF3"/>
    <w:rsid w:val="54E02594"/>
    <w:rsid w:val="5C2341E4"/>
    <w:rsid w:val="5EF369C2"/>
    <w:rsid w:val="5F467537"/>
    <w:rsid w:val="5F7D66C9"/>
    <w:rsid w:val="617050AC"/>
    <w:rsid w:val="63714235"/>
    <w:rsid w:val="646F2C43"/>
    <w:rsid w:val="6488303F"/>
    <w:rsid w:val="64ED2421"/>
    <w:rsid w:val="671A7149"/>
    <w:rsid w:val="68021003"/>
    <w:rsid w:val="6D92487D"/>
    <w:rsid w:val="6DB30687"/>
    <w:rsid w:val="6F8C3791"/>
    <w:rsid w:val="6FAF7358"/>
    <w:rsid w:val="708E5910"/>
    <w:rsid w:val="70F10E73"/>
    <w:rsid w:val="74D80E7F"/>
    <w:rsid w:val="76910A96"/>
    <w:rsid w:val="78EA6370"/>
    <w:rsid w:val="7AE251E6"/>
    <w:rsid w:val="7F325F7A"/>
    <w:rsid w:val="7FB00F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autoRedefine/>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qFormat/>
    <w:uiPriority w:val="1"/>
    <w:pPr>
      <w:spacing w:before="35"/>
      <w:ind w:left="760"/>
    </w:pPr>
    <w:rPr>
      <w:rFonts w:ascii="Adobe 黑体 Std R" w:hAnsi="Adobe 黑体 Std R" w:eastAsia="Adobe 黑体 Std R"/>
      <w:sz w:val="32"/>
      <w:szCs w:val="32"/>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autoRedefine/>
    <w:semiHidden/>
    <w:unhideWhenUsed/>
    <w:qFormat/>
    <w:uiPriority w:val="2"/>
    <w:tblPr>
      <w:tblCellMar>
        <w:top w:w="0" w:type="dxa"/>
        <w:left w:w="0" w:type="dxa"/>
        <w:bottom w:w="0" w:type="dxa"/>
        <w:right w:w="0" w:type="dxa"/>
      </w:tblCellMar>
    </w:tblPr>
  </w:style>
  <w:style w:type="paragraph" w:styleId="10">
    <w:name w:val="List Paragraph"/>
    <w:basedOn w:val="1"/>
    <w:autoRedefine/>
    <w:qFormat/>
    <w:uiPriority w:val="1"/>
  </w:style>
  <w:style w:type="paragraph" w:customStyle="1" w:styleId="11">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TotalTime>16</TotalTime>
  <ScaleCrop>false</ScaleCrop>
  <LinksUpToDate>false</LinksUpToDate>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有为青年</cp:lastModifiedBy>
  <dcterms:modified xsi:type="dcterms:W3CDTF">2024-05-23T01:32:32Z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2052-12.1.0.16729</vt:lpwstr>
  </property>
  <property fmtid="{D5CDD505-2E9C-101B-9397-08002B2CF9AE}" pid="6" name="ICV">
    <vt:lpwstr>4DFBAE58533245A6A3E6FCA55C54D6E1</vt:lpwstr>
  </property>
</Properties>
</file>