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95453">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关于广州市花都区2023年度第七十二批次城镇建设用地（新花大道〔花都大道-迎宾大道〕工程）的征地补偿安置方案</w:t>
      </w:r>
    </w:p>
    <w:p w14:paraId="7B36EDA7">
      <w:pPr>
        <w:spacing w:before="7"/>
        <w:rPr>
          <w:rFonts w:ascii="Adobe 黑体 Std R" w:hAnsi="Adobe 黑体 Std R" w:eastAsia="Adobe 黑体 Std R" w:cs="Adobe 黑体 Std R"/>
          <w:sz w:val="34"/>
          <w:szCs w:val="34"/>
          <w:lang w:eastAsia="zh-CN"/>
        </w:rPr>
      </w:pPr>
    </w:p>
    <w:p w14:paraId="1E39E335">
      <w:pPr>
        <w:pStyle w:val="5"/>
        <w:wordWrap w:val="0"/>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花山</w:t>
      </w:r>
      <w:r>
        <w:rPr>
          <w:rFonts w:hint="eastAsia" w:ascii="仿宋_GB2312" w:hAnsi="仿宋_GB2312" w:eastAsia="仿宋_GB2312" w:cs="仿宋_GB2312"/>
          <w:lang w:eastAsia="zh-CN"/>
        </w:rPr>
        <w:t>镇建设规划，完善城市功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民政府拟征收该区花山镇平山村东村经济合作社、平山村上村经济合作社、平山村下村经济合作社、小㘵村经济联合社</w:t>
      </w:r>
      <w:r>
        <w:rPr>
          <w:rFonts w:hint="eastAsia" w:ascii="仿宋_GB2312" w:hAnsi="仿宋_GB2312" w:eastAsia="仿宋_GB2312" w:cs="仿宋_GB2312"/>
          <w:spacing w:val="6"/>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10.5084</w:t>
      </w:r>
      <w:r>
        <w:rPr>
          <w:rFonts w:ascii="Times New Roman" w:hAnsi="Times New Roman" w:eastAsia="仿宋_GB2312" w:cs="Times New Roman"/>
          <w:lang w:eastAsia="zh-CN"/>
        </w:rPr>
        <w:t>公顷</w:t>
      </w:r>
      <w:bookmarkStart w:id="0" w:name="_GoBack"/>
      <w:bookmarkEnd w:id="0"/>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120E6BEE">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4DE8C771">
      <w:pPr>
        <w:spacing w:line="560" w:lineRule="exact"/>
        <w:ind w:firstLine="640" w:firstLineChars="200"/>
        <w:jc w:val="both"/>
        <w:rPr>
          <w:rFonts w:ascii="Times New Roman" w:hAnsi="Times New Roman" w:eastAsia="仿宋_GB2312" w:cs="Times New Roman"/>
          <w:lang w:eastAsia="zh-CN"/>
        </w:rPr>
      </w:pPr>
      <w:r>
        <w:rPr>
          <w:rFonts w:ascii="Times New Roman" w:hAnsi="Times New Roman" w:eastAsia="仿宋_GB2312" w:cs="Times New Roman"/>
          <w:sz w:val="32"/>
          <w:szCs w:val="32"/>
          <w:lang w:eastAsia="zh-CN"/>
        </w:rPr>
        <w:t>拟征收土地位于广州市花都区</w:t>
      </w:r>
      <w:r>
        <w:rPr>
          <w:rFonts w:hint="eastAsia" w:ascii="Times New Roman" w:hAnsi="Times New Roman" w:eastAsia="仿宋_GB2312" w:cs="Times New Roman"/>
          <w:sz w:val="32"/>
          <w:szCs w:val="32"/>
          <w:lang w:eastAsia="zh-CN"/>
        </w:rPr>
        <w:t>花山镇平山村东村经济合作社、平山村上村经济合作社、平山村下村经济合作社、小㘵村经济联合社</w:t>
      </w:r>
      <w:r>
        <w:rPr>
          <w:rFonts w:ascii="Times New Roman" w:hAnsi="Times New Roman" w:eastAsia="仿宋_GB2312" w:cs="Times New Roman"/>
          <w:sz w:val="32"/>
          <w:szCs w:val="32"/>
          <w:lang w:eastAsia="zh-CN"/>
        </w:rPr>
        <w:t>范围内，具体位置详见附图。</w:t>
      </w:r>
      <w:r>
        <w:rPr>
          <w:rFonts w:hint="eastAsia" w:ascii="Times New Roman" w:hAnsi="Times New Roman" w:eastAsia="仿宋_GB2312" w:cs="Times New Roman"/>
          <w:sz w:val="32"/>
          <w:szCs w:val="32"/>
          <w:lang w:eastAsia="zh-CN"/>
        </w:rPr>
        <w:t>实际征收土地范围以最终批准文件为准。</w:t>
      </w:r>
    </w:p>
    <w:p w14:paraId="4D02EBD4">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129BB3C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为，为了公共利益的需要，由政府组织实施的能源、交通、水利、通信、邮政等基础设施建设需要用地。</w:t>
      </w:r>
    </w:p>
    <w:p w14:paraId="6FCD7C10">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70E54F97">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F7B700A">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花山镇平山村东村经济合作社、上村经济合作社、下村经济合作社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10.4670</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157.0050</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eastAsia="zh-CN"/>
        </w:rPr>
        <w:t>9.7331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145.9965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2.7406公顷（41.1090亩）</w:t>
      </w:r>
      <w:r>
        <w:rPr>
          <w:rFonts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eastAsia="zh-CN"/>
        </w:rPr>
        <w:t>0.7339</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11.0085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；不涉及未利用地</w:t>
      </w:r>
      <w:r>
        <w:rPr>
          <w:rFonts w:ascii="Times New Roman" w:hAnsi="Times New Roman" w:eastAsia="仿宋_GB2312" w:cs="Times New Roman"/>
          <w:sz w:val="32"/>
          <w:szCs w:val="32"/>
          <w:lang w:eastAsia="zh-CN"/>
        </w:rPr>
        <w:t>。</w:t>
      </w:r>
    </w:p>
    <w:p w14:paraId="6FAB5F13">
      <w:pPr>
        <w:pStyle w:val="5"/>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二</w:t>
      </w:r>
      <w:r>
        <w:rPr>
          <w:rFonts w:ascii="Times New Roman" w:hAnsi="Times New Roman" w:eastAsia="仿宋_GB2312" w:cs="Times New Roman"/>
          <w:lang w:eastAsia="zh-CN"/>
        </w:rPr>
        <w:t>）拟征收</w:t>
      </w:r>
      <w:r>
        <w:rPr>
          <w:rFonts w:hint="eastAsia" w:ascii="Times New Roman" w:hAnsi="Times New Roman" w:eastAsia="仿宋_GB2312" w:cs="Times New Roman"/>
          <w:lang w:eastAsia="zh-CN"/>
        </w:rPr>
        <w:t>花山镇小㘵村经济联合社</w:t>
      </w:r>
      <w:r>
        <w:rPr>
          <w:rFonts w:ascii="Times New Roman" w:hAnsi="Times New Roman" w:eastAsia="仿宋_GB2312" w:cs="Times New Roman"/>
          <w:lang w:eastAsia="zh-CN"/>
        </w:rPr>
        <w:t>属下的集体所有土地</w:t>
      </w:r>
      <w:r>
        <w:rPr>
          <w:rFonts w:hint="eastAsia" w:ascii="Times New Roman" w:hAnsi="Times New Roman" w:eastAsia="仿宋_GB2312" w:cs="Times New Roman"/>
          <w:lang w:eastAsia="zh-CN"/>
        </w:rPr>
        <w:t>0.0414</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0.6210</w:t>
      </w:r>
      <w:r>
        <w:rPr>
          <w:rFonts w:ascii="Times New Roman" w:hAnsi="Times New Roman" w:eastAsia="仿宋_GB2312" w:cs="Times New Roman"/>
          <w:lang w:eastAsia="zh-CN"/>
        </w:rPr>
        <w:t>亩）。其中农用地</w:t>
      </w:r>
      <w:r>
        <w:rPr>
          <w:rFonts w:hint="eastAsia" w:ascii="Times New Roman" w:hAnsi="Times New Roman" w:eastAsia="仿宋_GB2312" w:cs="Times New Roman"/>
          <w:lang w:eastAsia="zh-CN"/>
        </w:rPr>
        <w:t>0.0064</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0.0960</w:t>
      </w:r>
      <w:r>
        <w:rPr>
          <w:rFonts w:ascii="Times New Roman" w:hAnsi="Times New Roman" w:eastAsia="仿宋_GB2312" w:cs="Times New Roman"/>
          <w:lang w:eastAsia="zh-CN"/>
        </w:rPr>
        <w:t>亩），</w:t>
      </w:r>
      <w:r>
        <w:rPr>
          <w:rFonts w:hint="eastAsia" w:ascii="Times New Roman" w:hAnsi="Times New Roman" w:eastAsia="仿宋_GB2312" w:cs="Times New Roman"/>
          <w:lang w:eastAsia="zh-CN"/>
        </w:rPr>
        <w:t>不涉及</w:t>
      </w:r>
      <w:r>
        <w:rPr>
          <w:rFonts w:ascii="Times New Roman" w:hAnsi="Times New Roman" w:eastAsia="仿宋_GB2312" w:cs="Times New Roman"/>
          <w:lang w:eastAsia="zh-CN"/>
        </w:rPr>
        <w:t>耕地；建设用地</w:t>
      </w:r>
      <w:r>
        <w:rPr>
          <w:rFonts w:hint="eastAsia" w:ascii="Times New Roman" w:hAnsi="Times New Roman" w:eastAsia="仿宋_GB2312" w:cs="Times New Roman"/>
          <w:lang w:eastAsia="zh-CN"/>
        </w:rPr>
        <w:t>0.0350</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0.5250</w:t>
      </w:r>
      <w:r>
        <w:rPr>
          <w:rFonts w:ascii="Times New Roman" w:hAnsi="Times New Roman" w:eastAsia="仿宋_GB2312" w:cs="Times New Roman"/>
          <w:lang w:eastAsia="zh-CN"/>
        </w:rPr>
        <w:t>亩）</w:t>
      </w:r>
      <w:r>
        <w:rPr>
          <w:rFonts w:hint="eastAsia" w:ascii="Times New Roman" w:hAnsi="Times New Roman" w:eastAsia="仿宋_GB2312" w:cs="Times New Roman"/>
          <w:lang w:eastAsia="zh-CN"/>
        </w:rPr>
        <w:t>；不涉及未利用地</w:t>
      </w:r>
      <w:r>
        <w:rPr>
          <w:rFonts w:ascii="Times New Roman" w:hAnsi="Times New Roman" w:eastAsia="仿宋_GB2312" w:cs="Times New Roman"/>
          <w:lang w:eastAsia="zh-CN"/>
        </w:rPr>
        <w:t>。</w:t>
      </w:r>
    </w:p>
    <w:p w14:paraId="61E61227">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27E6B0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17A5CCF5">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commentRangeStart w:id="0"/>
      <w:r>
        <w:rPr>
          <w:rFonts w:hint="eastAsia" w:ascii="Times New Roman" w:hAnsi="Times New Roman" w:eastAsia="仿宋_GB2312" w:cs="Times New Roman"/>
          <w:color w:val="FF0000"/>
          <w:sz w:val="32"/>
          <w:szCs w:val="32"/>
          <w:lang w:eastAsia="zh-CN"/>
        </w:rPr>
        <w:t>《中华人民共和国土地管理法》《广东省土地管理条例》等规定，并结合</w:t>
      </w:r>
      <w:commentRangeEnd w:id="0"/>
      <w:r>
        <w:rPr>
          <w:rStyle w:val="12"/>
        </w:rPr>
        <w:commentReference w:id="0"/>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农用地的土地补偿标准为</w:t>
      </w:r>
      <w:r>
        <w:rPr>
          <w:rFonts w:ascii="Times New Roman" w:hAnsi="Times New Roman" w:eastAsia="仿宋_GB2312" w:cs="Times New Roman"/>
          <w:sz w:val="32"/>
          <w:szCs w:val="32"/>
          <w:lang w:eastAsia="zh-CN"/>
        </w:rPr>
        <w:t>120</w:t>
      </w:r>
      <w:r>
        <w:rPr>
          <w:rFonts w:hint="eastAsia" w:ascii="Times New Roman" w:hAnsi="Times New Roman" w:eastAsia="仿宋_GB2312" w:cs="Times New Roman"/>
          <w:sz w:val="32"/>
          <w:szCs w:val="32"/>
          <w:lang w:eastAsia="zh-CN"/>
        </w:rPr>
        <w:t>万元/公顷，安置补助标准为</w:t>
      </w:r>
      <w:r>
        <w:rPr>
          <w:rFonts w:ascii="Times New Roman" w:hAnsi="Times New Roman" w:eastAsia="仿宋_GB2312" w:cs="Times New Roman"/>
          <w:sz w:val="32"/>
          <w:szCs w:val="32"/>
          <w:lang w:eastAsia="zh-CN"/>
        </w:rPr>
        <w:t>120</w:t>
      </w:r>
      <w:r>
        <w:rPr>
          <w:rFonts w:hint="eastAsia" w:ascii="Times New Roman" w:hAnsi="Times New Roman" w:eastAsia="仿宋_GB2312" w:cs="Times New Roman"/>
          <w:sz w:val="32"/>
          <w:szCs w:val="32"/>
          <w:lang w:eastAsia="zh-CN"/>
        </w:rPr>
        <w:t>万元/公顷，建设用地和未利用地的土地补偿标准为</w:t>
      </w:r>
      <w:r>
        <w:rPr>
          <w:rFonts w:ascii="Times New Roman" w:hAnsi="Times New Roman" w:eastAsia="仿宋_GB2312" w:cs="Times New Roman"/>
          <w:sz w:val="32"/>
          <w:szCs w:val="32"/>
          <w:lang w:eastAsia="zh-CN"/>
        </w:rPr>
        <w:t>240</w:t>
      </w:r>
      <w:r>
        <w:rPr>
          <w:rFonts w:hint="eastAsia" w:ascii="Times New Roman" w:hAnsi="Times New Roman" w:eastAsia="仿宋_GB2312" w:cs="Times New Roman"/>
          <w:sz w:val="32"/>
          <w:szCs w:val="32"/>
          <w:lang w:eastAsia="zh-CN"/>
        </w:rPr>
        <w:t>万元/公顷。</w:t>
      </w:r>
    </w:p>
    <w:p w14:paraId="10E68412">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680CEAC6">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4385D2EF">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6FFE55A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4200319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2DB9104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3293BE8F">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1990C46D">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2477B1C4">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（粤府办〔2009〕41号）、《广东省人民政府办公厅关于加强征收农村集体土地留用地安置管理工作的意见》（粤府办〔2016〕30号）相关规定，按实际征收土地面积的10%安排留用地，留用地兑现方式为实物留地。</w:t>
      </w:r>
    </w:p>
    <w:p w14:paraId="4615859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sz w:val="32"/>
          <w:szCs w:val="32"/>
          <w:lang w:eastAsia="zh-CN"/>
        </w:rPr>
        <w:t>337.3400</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14:paraId="5A5592B3">
      <w:pPr>
        <w:pStyle w:val="5"/>
        <w:spacing w:before="10" w:line="256" w:lineRule="auto"/>
        <w:ind w:left="0" w:right="111"/>
        <w:jc w:val="both"/>
        <w:rPr>
          <w:rFonts w:ascii="仿宋_GB2312" w:hAnsi="仿宋_GB2312" w:eastAsia="仿宋_GB2312" w:cs="仿宋_GB2312"/>
          <w:lang w:eastAsia="zh-CN"/>
        </w:rPr>
      </w:pPr>
    </w:p>
    <w:p w14:paraId="096314D9">
      <w:pPr>
        <w:pStyle w:val="5"/>
        <w:spacing w:before="0" w:line="437" w:lineRule="exact"/>
        <w:ind w:left="0" w:right="260"/>
        <w:jc w:val="right"/>
        <w:rPr>
          <w:rFonts w:ascii="仿宋_GB2312" w:hAnsi="仿宋_GB2312" w:eastAsia="仿宋_GB2312" w:cs="仿宋_GB2312"/>
          <w:lang w:eastAsia="zh-CN"/>
        </w:rPr>
      </w:pPr>
    </w:p>
    <w:p w14:paraId="21AECA0C">
      <w:pPr>
        <w:pStyle w:val="5"/>
        <w:spacing w:before="0" w:line="437" w:lineRule="exact"/>
        <w:ind w:left="0" w:right="260"/>
        <w:jc w:val="right"/>
        <w:rPr>
          <w:rFonts w:ascii="仿宋_GB2312" w:hAnsi="仿宋_GB2312" w:eastAsia="仿宋_GB2312" w:cs="仿宋_GB2312"/>
          <w:lang w:eastAsia="zh-CN"/>
        </w:rPr>
      </w:pPr>
    </w:p>
    <w:p w14:paraId="2EB856B9">
      <w:pPr>
        <w:pStyle w:val="5"/>
        <w:spacing w:before="0" w:line="437" w:lineRule="exact"/>
        <w:ind w:left="0" w:right="260"/>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D7F2394">
      <w:pPr>
        <w:pStyle w:val="5"/>
        <w:ind w:left="0" w:right="260"/>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eastAsia="zh-CN"/>
        </w:rPr>
        <w:t>4</w:t>
      </w:r>
      <w:r>
        <w:rPr>
          <w:rFonts w:ascii="Times New Roman" w:hAnsi="Times New Roman" w:eastAsia="仿宋_GB2312" w:cs="Times New Roman"/>
        </w:rPr>
        <w:t>月</w:t>
      </w:r>
      <w:r>
        <w:rPr>
          <w:rFonts w:ascii="Times New Roman" w:hAnsi="Times New Roman" w:eastAsia="仿宋_GB2312" w:cs="Times New Roman"/>
          <w:lang w:eastAsia="zh-CN"/>
        </w:rPr>
        <w:t>22</w:t>
      </w:r>
      <w:r>
        <w:rPr>
          <w:rFonts w:ascii="Times New Roman" w:hAnsi="Times New Roman" w:eastAsia="仿宋_GB2312" w:cs="Times New Roman"/>
        </w:rPr>
        <w:t>日</w:t>
      </w:r>
    </w:p>
    <w:sectPr>
      <w:footerReference r:id="rId5" w:type="default"/>
      <w:pgSz w:w="11910" w:h="16840"/>
      <w:pgMar w:top="1520" w:right="1540" w:bottom="1160" w:left="1680" w:header="0" w:footer="97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ered" w:date="2024-04-22T16:30:00Z" w:initials="">
    <w:p w14:paraId="026C52AD">
      <w:pPr>
        <w:pStyle w:val="4"/>
      </w:pPr>
      <w:r>
        <w:rPr>
          <w:rFonts w:hint="eastAsia" w:ascii="宋体" w:hAnsi="宋体" w:eastAsia="宋体" w:cs="宋体"/>
          <w:lang w:eastAsia="zh-CN"/>
        </w:rPr>
        <w:t>加不加这两个文都可以，之前的项目都是方案没加，公告加了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6C52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0C81">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A83F26C">
                <w:pPr>
                  <w:spacing w:line="203" w:lineRule="exact"/>
                  <w:ind w:left="40"/>
                  <w:rPr>
                    <w:rFonts w:ascii="Calibri" w:hAnsi="Calibri" w:eastAsia="Calibri" w:cs="Calibri"/>
                    <w:sz w:val="18"/>
                    <w:szCs w:val="18"/>
                  </w:rPr>
                </w:pP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ered">
    <w15:presenceInfo w15:providerId="None" w15:userId="Administer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C21D6"/>
    <w:rsid w:val="000E3907"/>
    <w:rsid w:val="0010720C"/>
    <w:rsid w:val="001D7209"/>
    <w:rsid w:val="0020273F"/>
    <w:rsid w:val="002A343D"/>
    <w:rsid w:val="00345770"/>
    <w:rsid w:val="0037606F"/>
    <w:rsid w:val="003A0CBC"/>
    <w:rsid w:val="00606DD4"/>
    <w:rsid w:val="006446B9"/>
    <w:rsid w:val="0076555E"/>
    <w:rsid w:val="00832BC9"/>
    <w:rsid w:val="00890462"/>
    <w:rsid w:val="00892191"/>
    <w:rsid w:val="00910F80"/>
    <w:rsid w:val="009C2DE4"/>
    <w:rsid w:val="00AE0CC4"/>
    <w:rsid w:val="00BA2E3D"/>
    <w:rsid w:val="00C525F8"/>
    <w:rsid w:val="00C946D4"/>
    <w:rsid w:val="00CA0F7B"/>
    <w:rsid w:val="00DA0B67"/>
    <w:rsid w:val="00E56C97"/>
    <w:rsid w:val="00EA0DDD"/>
    <w:rsid w:val="00F72644"/>
    <w:rsid w:val="00F869B9"/>
    <w:rsid w:val="022A33E1"/>
    <w:rsid w:val="02B47861"/>
    <w:rsid w:val="04654DC4"/>
    <w:rsid w:val="0822151D"/>
    <w:rsid w:val="08682950"/>
    <w:rsid w:val="08D87341"/>
    <w:rsid w:val="0BC12118"/>
    <w:rsid w:val="0C890300"/>
    <w:rsid w:val="161B7A15"/>
    <w:rsid w:val="162B00EE"/>
    <w:rsid w:val="16CD05AC"/>
    <w:rsid w:val="16E50DE0"/>
    <w:rsid w:val="19977D8A"/>
    <w:rsid w:val="219E39B8"/>
    <w:rsid w:val="24510545"/>
    <w:rsid w:val="25477C36"/>
    <w:rsid w:val="288A0F78"/>
    <w:rsid w:val="29C73F17"/>
    <w:rsid w:val="2BE439BC"/>
    <w:rsid w:val="2F2F33BB"/>
    <w:rsid w:val="30BC4C26"/>
    <w:rsid w:val="33085EB0"/>
    <w:rsid w:val="34394804"/>
    <w:rsid w:val="34CC172C"/>
    <w:rsid w:val="39A42B0C"/>
    <w:rsid w:val="3B8E0546"/>
    <w:rsid w:val="3D4536F5"/>
    <w:rsid w:val="46753A21"/>
    <w:rsid w:val="47EA5951"/>
    <w:rsid w:val="4C8E6B3E"/>
    <w:rsid w:val="4F536F5C"/>
    <w:rsid w:val="4FDC68BF"/>
    <w:rsid w:val="505F6CEB"/>
    <w:rsid w:val="53D675C5"/>
    <w:rsid w:val="54382FF3"/>
    <w:rsid w:val="54E02594"/>
    <w:rsid w:val="555B4257"/>
    <w:rsid w:val="58584F1E"/>
    <w:rsid w:val="5EF369C2"/>
    <w:rsid w:val="5F7D66C9"/>
    <w:rsid w:val="608A67CB"/>
    <w:rsid w:val="62844552"/>
    <w:rsid w:val="63714235"/>
    <w:rsid w:val="6488303F"/>
    <w:rsid w:val="64ED2421"/>
    <w:rsid w:val="671A7149"/>
    <w:rsid w:val="6B015D7A"/>
    <w:rsid w:val="6DB30687"/>
    <w:rsid w:val="6F8C3791"/>
    <w:rsid w:val="708E5910"/>
    <w:rsid w:val="747B57C1"/>
    <w:rsid w:val="75B44CF4"/>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subject"/>
    <w:basedOn w:val="4"/>
    <w:next w:val="4"/>
    <w:link w:val="19"/>
    <w:qFormat/>
    <w:uiPriority w:val="0"/>
    <w:rPr>
      <w:b/>
      <w:bCs/>
    </w:rPr>
  </w:style>
  <w:style w:type="character" w:styleId="12">
    <w:name w:val="annotation reference"/>
    <w:basedOn w:val="11"/>
    <w:qFormat/>
    <w:uiPriority w:val="0"/>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批注框文本 字符"/>
    <w:basedOn w:val="11"/>
    <w:link w:val="6"/>
    <w:qFormat/>
    <w:uiPriority w:val="0"/>
    <w:rPr>
      <w:rFonts w:asciiTheme="minorHAnsi" w:hAnsiTheme="minorHAnsi" w:eastAsiaTheme="minorHAnsi" w:cstheme="minorBidi"/>
      <w:sz w:val="18"/>
      <w:szCs w:val="18"/>
      <w:lang w:eastAsia="en-US"/>
    </w:rPr>
  </w:style>
  <w:style w:type="character" w:customStyle="1" w:styleId="17">
    <w:name w:val="页脚 字符"/>
    <w:basedOn w:val="11"/>
    <w:link w:val="7"/>
    <w:qFormat/>
    <w:uiPriority w:val="0"/>
    <w:rPr>
      <w:rFonts w:asciiTheme="minorHAnsi" w:hAnsiTheme="minorHAnsi" w:eastAsiaTheme="minorHAnsi" w:cstheme="minorBidi"/>
      <w:sz w:val="18"/>
      <w:szCs w:val="18"/>
      <w:lang w:eastAsia="en-US"/>
    </w:rPr>
  </w:style>
  <w:style w:type="character" w:customStyle="1" w:styleId="18">
    <w:name w:val="批注文字 字符"/>
    <w:basedOn w:val="11"/>
    <w:link w:val="4"/>
    <w:qFormat/>
    <w:uiPriority w:val="0"/>
    <w:rPr>
      <w:rFonts w:asciiTheme="minorHAnsi" w:hAnsiTheme="minorHAnsi" w:eastAsiaTheme="minorHAnsi" w:cstheme="minorBidi"/>
      <w:sz w:val="22"/>
      <w:szCs w:val="22"/>
      <w:lang w:eastAsia="en-US"/>
    </w:rPr>
  </w:style>
  <w:style w:type="character" w:customStyle="1" w:styleId="19">
    <w:name w:val="批注主题 字符"/>
    <w:basedOn w:val="18"/>
    <w:link w:val="9"/>
    <w:qFormat/>
    <w:uiPriority w:val="0"/>
    <w:rPr>
      <w:rFonts w:asciiTheme="minorHAnsi" w:hAnsiTheme="minorHAnsi" w:eastAsiaTheme="minorHAnsi" w:cstheme="minorBidi"/>
      <w:b/>
      <w:bCs/>
      <w:sz w:val="22"/>
      <w:szCs w:val="22"/>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Words>
  <Characters>1465</Characters>
  <Lines>12</Lines>
  <Paragraphs>3</Paragraphs>
  <TotalTime>5</TotalTime>
  <ScaleCrop>false</ScaleCrop>
  <LinksUpToDate>false</LinksUpToDate>
  <CharactersWithSpaces>1719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2025-01-14T07:26:02Z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