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ascii="Times New Roman" w:hAnsi="Times New Roman" w:eastAsia="方正小标宋简体" w:cs="Times New Roman"/>
          <w:sz w:val="44"/>
          <w:szCs w:val="44"/>
        </w:rPr>
      </w:pP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ascii="Times New Roman" w:hAnsi="Times New Roman" w:eastAsia="方正小标宋简体" w:cs="Times New Roman"/>
          <w:sz w:val="44"/>
          <w:szCs w:val="44"/>
        </w:rPr>
      </w:pP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ascii="Times New Roman" w:hAnsi="Times New Roman" w:eastAsia="方正小标宋简体" w:cs="Times New Roman"/>
          <w:sz w:val="44"/>
          <w:szCs w:val="44"/>
        </w:rPr>
      </w:pP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ascii="Times New Roman" w:hAnsi="Times New Roman" w:eastAsia="方正小标宋简体" w:cs="Times New Roman"/>
          <w:sz w:val="44"/>
          <w:szCs w:val="44"/>
        </w:rPr>
        <w:t>2024年度第</w:t>
      </w:r>
      <w:r>
        <w:rPr>
          <w:rFonts w:hint="eastAsia" w:ascii="Times New Roman" w:hAnsi="Times New Roman" w:eastAsia="方正小标宋简体" w:cs="Times New Roman"/>
          <w:sz w:val="44"/>
          <w:szCs w:val="44"/>
          <w:lang w:eastAsia="zh-CN"/>
        </w:rPr>
        <w:t>二十四</w:t>
      </w:r>
      <w:r>
        <w:rPr>
          <w:rFonts w:ascii="Times New Roman" w:hAnsi="Times New Roman" w:eastAsia="方正小标宋简体" w:cs="Times New Roman"/>
          <w:sz w:val="44"/>
          <w:szCs w:val="44"/>
        </w:rPr>
        <w:t>批次城镇建设用地（</w:t>
      </w:r>
      <w:r>
        <w:rPr>
          <w:rFonts w:hint="eastAsia" w:ascii="Times New Roman" w:hAnsi="Times New Roman" w:eastAsia="方正小标宋简体" w:cs="Times New Roman"/>
          <w:sz w:val="44"/>
          <w:szCs w:val="44"/>
          <w:lang w:eastAsia="zh-CN"/>
        </w:rPr>
        <w:t>金狮大道北一地块</w:t>
      </w:r>
      <w:r>
        <w:rPr>
          <w:rFonts w:ascii="Times New Roman" w:hAnsi="Times New Roman" w:eastAsia="方正小标宋简体" w:cs="Times New Roman"/>
          <w:sz w:val="44"/>
          <w:szCs w:val="44"/>
        </w:rPr>
        <w:t>）的</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征地补偿安置方案</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lang w:eastAsia="zh-CN"/>
        </w:rPr>
        <w:t>狮岭</w:t>
      </w:r>
      <w:r>
        <w:rPr>
          <w:rFonts w:hint="eastAsia" w:ascii="Times New Roman" w:hAnsi="Times New Roman" w:eastAsia="仿宋_GB2312" w:cs="Times New Roman"/>
          <w:sz w:val="32"/>
        </w:rPr>
        <w:t>镇</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lang w:eastAsia="zh-CN"/>
        </w:rPr>
        <w:t>广州市</w:t>
      </w:r>
      <w:r>
        <w:rPr>
          <w:rFonts w:hint="eastAsia" w:ascii="Times New Roman" w:hAnsi="Times New Roman" w:eastAsia="仿宋_GB2312" w:cs="Times New Roman"/>
          <w:sz w:val="32"/>
          <w:szCs w:val="32"/>
        </w:rPr>
        <w:t>花都区</w:t>
      </w:r>
      <w:bookmarkStart w:id="0" w:name="_Hlk160699204"/>
      <w:r>
        <w:rPr>
          <w:rFonts w:hint="eastAsia" w:ascii="Times New Roman" w:hAnsi="Times New Roman" w:eastAsia="仿宋_GB2312" w:cs="Times New Roman"/>
          <w:sz w:val="32"/>
          <w:szCs w:val="32"/>
          <w:lang w:eastAsia="zh-CN"/>
        </w:rPr>
        <w:t>狮岭镇振兴经济联合社，九经济合作社、十四经济合作社、牛八经济合作社、陈八经济合作社（共有）</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振兴十八经济合作社，十四经济合作社</w:t>
      </w:r>
      <w:bookmarkEnd w:id="0"/>
      <w:r>
        <w:rPr>
          <w:rFonts w:ascii="Times New Roman" w:hAnsi="Times New Roman" w:eastAsia="仿宋_GB2312" w:cs="Times New Roman"/>
          <w:sz w:val="32"/>
        </w:rPr>
        <w:t>属下的集体土地</w:t>
      </w:r>
      <w:r>
        <w:rPr>
          <w:rFonts w:hint="eastAsia" w:ascii="Times New Roman" w:hAnsi="Times New Roman" w:eastAsia="仿宋_GB2312" w:cs="Times New Roman"/>
          <w:sz w:val="32"/>
          <w:szCs w:val="24"/>
          <w:lang w:val="en-US" w:eastAsia="zh-CN"/>
        </w:rPr>
        <w:t>15.3122</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keepNext w:val="0"/>
        <w:keepLines w:val="0"/>
        <w:pageBreakBefore w:val="0"/>
        <w:widowControl w:val="0"/>
        <w:numPr>
          <w:ilvl w:val="255"/>
          <w:numId w:val="0"/>
        </w:numPr>
        <w:kinsoku/>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keepNext w:val="0"/>
        <w:keepLines w:val="0"/>
        <w:pageBreakBefore w:val="0"/>
        <w:widowControl w:val="0"/>
        <w:numPr>
          <w:ilvl w:val="255"/>
          <w:numId w:val="0"/>
        </w:numPr>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bCs/>
          <w:sz w:val="32"/>
          <w:szCs w:val="32"/>
        </w:rPr>
      </w:pPr>
      <w:bookmarkStart w:id="1"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sz w:val="32"/>
          <w:szCs w:val="32"/>
          <w:lang w:eastAsia="zh-CN"/>
        </w:rPr>
        <w:t>广州市</w:t>
      </w:r>
      <w:r>
        <w:rPr>
          <w:rFonts w:hint="eastAsia" w:ascii="Times New Roman" w:hAnsi="Times New Roman" w:eastAsia="仿宋_GB2312" w:cs="Times New Roman"/>
          <w:sz w:val="32"/>
          <w:szCs w:val="32"/>
        </w:rPr>
        <w:t>花都区</w:t>
      </w:r>
      <w:r>
        <w:rPr>
          <w:rFonts w:hint="eastAsia" w:ascii="Times New Roman" w:hAnsi="Times New Roman" w:eastAsia="仿宋_GB2312" w:cs="Times New Roman"/>
          <w:sz w:val="32"/>
          <w:szCs w:val="32"/>
          <w:lang w:eastAsia="zh-CN"/>
        </w:rPr>
        <w:t>狮岭镇振兴经济联合社，九经济合作社、十四经济合作社、牛八经济合作社、陈八经济合作社（共有）</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振兴十八经济合作社，十四经济合作社</w:t>
      </w:r>
      <w:r>
        <w:rPr>
          <w:rFonts w:ascii="Times New Roman" w:hAnsi="Times New Roman" w:eastAsia="仿宋_GB2312" w:cs="Times New Roman"/>
          <w:bCs/>
          <w:sz w:val="32"/>
          <w:szCs w:val="32"/>
        </w:rPr>
        <w:t>范围内</w:t>
      </w:r>
      <w:bookmarkEnd w:id="1"/>
      <w:r>
        <w:rPr>
          <w:rFonts w:ascii="Times New Roman" w:hAnsi="Times New Roman" w:eastAsia="仿宋_GB2312" w:cs="Times New Roman"/>
          <w:bCs/>
          <w:sz w:val="32"/>
          <w:szCs w:val="32"/>
        </w:rPr>
        <w:t>。实际征收土地范围以最终批准文件为准。</w:t>
      </w:r>
    </w:p>
    <w:p>
      <w:pPr>
        <w:keepNext w:val="0"/>
        <w:keepLines w:val="0"/>
        <w:pageBreakBefore w:val="0"/>
        <w:widowControl w:val="0"/>
        <w:numPr>
          <w:ilvl w:val="255"/>
          <w:numId w:val="0"/>
        </w:numPr>
        <w:kinsoku/>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keepNext w:val="0"/>
        <w:keepLines w:val="0"/>
        <w:pageBreakBefore w:val="0"/>
        <w:widowControl w:val="0"/>
        <w:numPr>
          <w:ilvl w:val="255"/>
          <w:numId w:val="0"/>
        </w:numPr>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bCs/>
          <w:sz w:val="32"/>
          <w:szCs w:val="32"/>
        </w:rPr>
      </w:pPr>
      <w:bookmarkStart w:id="2" w:name="_Hlk142467650"/>
      <w:r>
        <w:rPr>
          <w:rFonts w:hint="eastAsia" w:ascii="Times New Roman" w:hAnsi="Times New Roman" w:eastAsia="仿宋_GB2312" w:cs="Times New Roman"/>
          <w:bCs/>
          <w:sz w:val="32"/>
          <w:szCs w:val="32"/>
        </w:rPr>
        <w:t>根据《中华人民共和国土地管理法》第四十五条的规定，本次征收土地目的为，为了公共利益的需要，由政府组织实施的成片开发建设需要用地。</w:t>
      </w:r>
    </w:p>
    <w:bookmarkEnd w:id="2"/>
    <w:p>
      <w:pPr>
        <w:keepNext w:val="0"/>
        <w:keepLines w:val="0"/>
        <w:pageBreakBefore w:val="0"/>
        <w:widowControl w:val="0"/>
        <w:numPr>
          <w:ilvl w:val="255"/>
          <w:numId w:val="0"/>
        </w:numPr>
        <w:kinsoku/>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pPr>
        <w:keepNext w:val="0"/>
        <w:keepLines w:val="0"/>
        <w:pageBreakBefore w:val="0"/>
        <w:widowControl w:val="0"/>
        <w:numPr>
          <w:ilvl w:val="255"/>
          <w:numId w:val="0"/>
        </w:numPr>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pPr>
        <w:keepNext w:val="0"/>
        <w:keepLines w:val="0"/>
        <w:pageBreakBefore w:val="0"/>
        <w:widowControl w:val="0"/>
        <w:numPr>
          <w:ilvl w:val="255"/>
          <w:numId w:val="0"/>
        </w:numPr>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bookmarkStart w:id="3" w:name="_Hlk155255234"/>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lang w:eastAsia="zh-CN"/>
        </w:rPr>
        <w:t>广州市</w:t>
      </w:r>
      <w:r>
        <w:rPr>
          <w:rFonts w:hint="eastAsia" w:ascii="Times New Roman" w:hAnsi="Times New Roman" w:eastAsia="仿宋_GB2312" w:cs="Times New Roman"/>
          <w:sz w:val="32"/>
          <w:szCs w:val="32"/>
        </w:rPr>
        <w:t>花都区</w:t>
      </w:r>
      <w:r>
        <w:rPr>
          <w:rFonts w:hint="eastAsia" w:ascii="Times New Roman" w:hAnsi="Times New Roman" w:eastAsia="仿宋_GB2312" w:cs="Times New Roman"/>
          <w:sz w:val="32"/>
          <w:szCs w:val="32"/>
          <w:lang w:eastAsia="zh-CN"/>
        </w:rPr>
        <w:t>狮岭镇振兴经济联合社，九经济合作社、十四经济合作社、牛八经济合作社、陈八经济合作社（共有）</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振兴十八经济合作社，十四经济合作社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w:t>
      </w:r>
      <w:r>
        <w:rPr>
          <w:rFonts w:hint="eastAsia" w:ascii="Times New Roman" w:hAnsi="Times New Roman" w:eastAsia="仿宋_GB2312" w:cs="Times New Roman"/>
          <w:sz w:val="32"/>
          <w:szCs w:val="32"/>
          <w:lang w:val="en-US" w:eastAsia="zh-CN"/>
        </w:rPr>
        <w:t>15.3122</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229.6830</w:t>
      </w:r>
      <w:r>
        <w:rPr>
          <w:rFonts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bCs/>
          <w:sz w:val="32"/>
          <w:szCs w:val="32"/>
        </w:rPr>
        <w:t>其中农用地</w:t>
      </w:r>
      <w:r>
        <w:rPr>
          <w:rFonts w:hint="eastAsia" w:ascii="Times New Roman" w:hAnsi="Times New Roman" w:eastAsia="仿宋_GB2312" w:cs="Times New Roman"/>
          <w:sz w:val="32"/>
          <w:szCs w:val="32"/>
          <w:lang w:val="en-US" w:eastAsia="zh-CN"/>
        </w:rPr>
        <w:t>14.6720</w:t>
      </w:r>
      <w:r>
        <w:rPr>
          <w:rFonts w:ascii="Times New Roman" w:hAnsi="Times New Roman" w:eastAsia="仿宋_GB2312" w:cs="Times New Roman"/>
          <w:bCs/>
          <w:sz w:val="32"/>
          <w:szCs w:val="32"/>
        </w:rPr>
        <w:t>公顷（</w:t>
      </w:r>
      <w:r>
        <w:rPr>
          <w:rFonts w:hint="eastAsia" w:ascii="Times New Roman" w:hAnsi="Times New Roman" w:eastAsia="仿宋_GB2312" w:cs="Times New Roman"/>
          <w:sz w:val="32"/>
          <w:szCs w:val="32"/>
          <w:lang w:val="en-US" w:eastAsia="zh-CN"/>
        </w:rPr>
        <w:t>220.08</w:t>
      </w:r>
      <w:r>
        <w:rPr>
          <w:rFonts w:ascii="Times New Roman" w:hAnsi="Times New Roman" w:eastAsia="仿宋_GB2312" w:cs="Times New Roman"/>
          <w:bCs/>
          <w:sz w:val="32"/>
          <w:szCs w:val="32"/>
        </w:rPr>
        <w:t>‬亩），</w:t>
      </w:r>
      <w:r>
        <w:rPr>
          <w:rFonts w:hint="eastAsia" w:ascii="Times New Roman" w:hAnsi="Times New Roman" w:eastAsia="仿宋_GB2312" w:cs="Times New Roman"/>
          <w:bCs/>
          <w:sz w:val="32"/>
          <w:szCs w:val="32"/>
        </w:rPr>
        <w:t>含</w:t>
      </w:r>
      <w:r>
        <w:rPr>
          <w:rFonts w:ascii="Times New Roman" w:hAnsi="Times New Roman" w:eastAsia="仿宋_GB2312" w:cs="Times New Roman"/>
          <w:bCs/>
          <w:sz w:val="32"/>
          <w:szCs w:val="32"/>
        </w:rPr>
        <w:t>耕地</w:t>
      </w:r>
      <w:r>
        <w:rPr>
          <w:rFonts w:hint="eastAsia" w:ascii="Times New Roman" w:hAnsi="Times New Roman" w:eastAsia="仿宋_GB2312" w:cs="Times New Roman"/>
          <w:bCs/>
          <w:sz w:val="32"/>
          <w:szCs w:val="32"/>
          <w:lang w:val="en-US" w:eastAsia="zh-CN"/>
        </w:rPr>
        <w:t>0.8683</w:t>
      </w:r>
      <w:r>
        <w:rPr>
          <w:rFonts w:hint="eastAsia" w:ascii="Times New Roman" w:hAnsi="Times New Roman" w:eastAsia="仿宋_GB2312" w:cs="Times New Roman"/>
          <w:bCs/>
          <w:sz w:val="32"/>
          <w:szCs w:val="32"/>
        </w:rPr>
        <w:t>公顷（</w:t>
      </w:r>
      <w:r>
        <w:rPr>
          <w:rFonts w:hint="eastAsia" w:ascii="Times New Roman" w:hAnsi="Times New Roman" w:eastAsia="仿宋_GB2312" w:cs="Times New Roman"/>
          <w:bCs/>
          <w:sz w:val="32"/>
          <w:szCs w:val="32"/>
          <w:lang w:val="en-US" w:eastAsia="zh-CN"/>
        </w:rPr>
        <w:t>13.0245</w:t>
      </w:r>
      <w:r>
        <w:rPr>
          <w:rFonts w:hint="eastAsia" w:ascii="Times New Roman" w:hAnsi="Times New Roman" w:eastAsia="仿宋_GB2312" w:cs="Times New Roman"/>
          <w:bCs/>
          <w:sz w:val="32"/>
          <w:szCs w:val="32"/>
        </w:rPr>
        <w:t>亩）</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建设用地</w:t>
      </w:r>
      <w:r>
        <w:rPr>
          <w:rFonts w:hint="eastAsia" w:ascii="Times New Roman" w:hAnsi="Times New Roman" w:eastAsia="仿宋_GB2312" w:cs="Times New Roman"/>
          <w:bCs/>
          <w:sz w:val="32"/>
          <w:szCs w:val="32"/>
          <w:lang w:val="en-US" w:eastAsia="zh-CN"/>
        </w:rPr>
        <w:t>0.6402公顷（9.6030</w:t>
      </w:r>
      <w:bookmarkStart w:id="5" w:name="_GoBack"/>
      <w:bookmarkEnd w:id="5"/>
      <w:r>
        <w:rPr>
          <w:rFonts w:hint="eastAsia" w:ascii="Times New Roman" w:hAnsi="Times New Roman" w:eastAsia="仿宋_GB2312" w:cs="Times New Roman"/>
          <w:bCs/>
          <w:sz w:val="32"/>
          <w:szCs w:val="32"/>
          <w:lang w:val="en-US" w:eastAsia="zh-CN"/>
        </w:rPr>
        <w:t>亩）</w:t>
      </w:r>
      <w:r>
        <w:rPr>
          <w:rFonts w:ascii="Times New Roman" w:hAnsi="Times New Roman" w:eastAsia="仿宋_GB2312" w:cs="Times New Roman"/>
          <w:bCs/>
          <w:sz w:val="32"/>
          <w:szCs w:val="32"/>
        </w:rPr>
        <w:t>，不涉及未利用地</w:t>
      </w:r>
      <w:r>
        <w:rPr>
          <w:rFonts w:hint="eastAsia" w:ascii="Times New Roman" w:hAnsi="Times New Roman" w:eastAsia="仿宋_GB2312" w:cs="Times New Roman"/>
          <w:bCs/>
          <w:sz w:val="32"/>
          <w:szCs w:val="32"/>
        </w:rPr>
        <w:t>。</w:t>
      </w:r>
    </w:p>
    <w:bookmarkEnd w:id="3"/>
    <w:p>
      <w:pPr>
        <w:keepNext w:val="0"/>
        <w:keepLines w:val="0"/>
        <w:pageBreakBefore w:val="0"/>
        <w:widowControl w:val="0"/>
        <w:numPr>
          <w:ilvl w:val="255"/>
          <w:numId w:val="0"/>
        </w:numPr>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pPr>
        <w:keepNext w:val="0"/>
        <w:keepLines w:val="0"/>
        <w:pageBreakBefore w:val="0"/>
        <w:widowControl w:val="0"/>
        <w:numPr>
          <w:ilvl w:val="255"/>
          <w:numId w:val="0"/>
        </w:numPr>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（一）土地补偿费和安置补助费标准</w:t>
      </w:r>
    </w:p>
    <w:p>
      <w:pPr>
        <w:keepNext w:val="0"/>
        <w:keepLines w:val="0"/>
        <w:pageBreakBefore w:val="0"/>
        <w:widowControl w:val="0"/>
        <w:numPr>
          <w:ilvl w:val="255"/>
          <w:numId w:val="0"/>
        </w:numPr>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w:t>
      </w:r>
      <w:bookmarkStart w:id="4" w:name="_Hlk161302113"/>
      <w:r>
        <w:rPr>
          <w:rFonts w:hint="eastAsia" w:ascii="Times New Roman" w:hAnsi="Times New Roman" w:eastAsia="仿宋_GB2312" w:cs="Times New Roman"/>
          <w:sz w:val="32"/>
          <w:szCs w:val="32"/>
        </w:rPr>
        <w:t>广东省自然资源厅关于广州市征收农用地区片综合地价成果的批复</w:t>
      </w:r>
      <w:bookmarkEnd w:id="4"/>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2024〕103号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的规定，农用地土地补偿标准为</w:t>
      </w:r>
      <w:r>
        <w:rPr>
          <w:rFonts w:hint="eastAsia" w:ascii="Times New Roman" w:hAnsi="Times New Roman" w:eastAsia="仿宋_GB2312" w:cs="Times New Roman"/>
          <w:sz w:val="32"/>
          <w:szCs w:val="32"/>
          <w:lang w:val="en-US" w:eastAsia="zh-CN"/>
        </w:rPr>
        <w:t>97.5</w:t>
      </w:r>
      <w:r>
        <w:rPr>
          <w:rFonts w:ascii="Times New Roman" w:hAnsi="Times New Roman" w:eastAsia="仿宋_GB2312" w:cs="Times New Roman"/>
          <w:sz w:val="32"/>
          <w:szCs w:val="32"/>
        </w:rPr>
        <w:t>‬万元/公顷，安置补助标准为</w:t>
      </w:r>
      <w:r>
        <w:rPr>
          <w:rFonts w:hint="eastAsia" w:ascii="Times New Roman" w:hAnsi="Times New Roman" w:eastAsia="仿宋_GB2312" w:cs="Times New Roman"/>
          <w:sz w:val="32"/>
          <w:szCs w:val="32"/>
          <w:lang w:val="en-US" w:eastAsia="zh-CN"/>
        </w:rPr>
        <w:t>97.5</w:t>
      </w:r>
      <w:r>
        <w:rPr>
          <w:rFonts w:ascii="Times New Roman" w:hAnsi="Times New Roman" w:eastAsia="仿宋_GB2312" w:cs="Times New Roman"/>
          <w:sz w:val="32"/>
          <w:szCs w:val="32"/>
        </w:rPr>
        <w:t>‬万元/公顷</w:t>
      </w:r>
      <w:r>
        <w:rPr>
          <w:rFonts w:hint="eastAsia" w:ascii="Times New Roman" w:hAnsi="Times New Roman" w:eastAsia="仿宋_GB2312" w:cs="Times New Roman"/>
          <w:sz w:val="32"/>
          <w:szCs w:val="32"/>
        </w:rPr>
        <w:t>。</w:t>
      </w:r>
    </w:p>
    <w:p>
      <w:pPr>
        <w:keepNext w:val="0"/>
        <w:keepLines w:val="0"/>
        <w:pageBreakBefore w:val="0"/>
        <w:widowControl w:val="0"/>
        <w:numPr>
          <w:ilvl w:val="255"/>
          <w:numId w:val="0"/>
        </w:numPr>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w:t>
      </w:r>
      <w:r>
        <w:rPr>
          <w:rFonts w:ascii="Times New Roman" w:hAnsi="Times New Roman" w:eastAsia="仿宋_GB2312" w:cs="Times New Roman"/>
          <w:sz w:val="32"/>
          <w:szCs w:val="32"/>
        </w:rPr>
        <w:t>补偿</w:t>
      </w:r>
    </w:p>
    <w:p>
      <w:pPr>
        <w:keepNext w:val="0"/>
        <w:keepLines w:val="0"/>
        <w:pageBreakBefore w:val="0"/>
        <w:widowControl w:val="0"/>
        <w:numPr>
          <w:ilvl w:val="255"/>
          <w:numId w:val="0"/>
        </w:numPr>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本次征地不涉及农村村民住宅补偿。</w:t>
      </w:r>
    </w:p>
    <w:p>
      <w:pPr>
        <w:keepNext w:val="0"/>
        <w:keepLines w:val="0"/>
        <w:pageBreakBefore w:val="0"/>
        <w:widowControl w:val="0"/>
        <w:numPr>
          <w:ilvl w:val="255"/>
          <w:numId w:val="0"/>
        </w:numPr>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（三）青苗及其他地上附着物补偿</w:t>
      </w:r>
    </w:p>
    <w:p>
      <w:pPr>
        <w:keepNext w:val="0"/>
        <w:keepLines w:val="0"/>
        <w:pageBreakBefore w:val="0"/>
        <w:widowControl w:val="0"/>
        <w:numPr>
          <w:ilvl w:val="255"/>
          <w:numId w:val="0"/>
        </w:numPr>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青苗及其他地上附着物补偿参照《广州市花都区人民政府办公室印发花都区片区征地包干补偿工作方案的通知</w:t>
      </w:r>
      <w:r>
        <w:rPr>
          <w:rFonts w:ascii="Times New Roman" w:hAnsi="Times New Roman" w:eastAsia="仿宋_GB2312" w:cs="Times New Roman"/>
          <w:sz w:val="32"/>
          <w:szCs w:val="32"/>
        </w:rPr>
        <w:t>》（花府办</w:t>
      </w:r>
      <w:r>
        <w:rPr>
          <w:rFonts w:hint="eastAsia" w:ascii="Times New Roman" w:hAnsi="Times New Roman" w:eastAsia="仿宋_GB2312" w:cs="Times New Roman"/>
          <w:sz w:val="32"/>
          <w:szCs w:val="32"/>
        </w:rPr>
        <w:t>〔</w:t>
      </w:r>
      <w:r>
        <w:rPr>
          <w:rFonts w:ascii="Times New Roman" w:hAnsi="Times New Roman" w:eastAsia="仿宋" w:cs="Times New Roman"/>
          <w:sz w:val="32"/>
          <w:szCs w:val="32"/>
        </w:rPr>
        <w:t>2016</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的规定执行</w:t>
      </w:r>
      <w:r>
        <w:rPr>
          <w:rFonts w:ascii="Times New Roman" w:hAnsi="Times New Roman" w:eastAsia="仿宋_GB2312" w:cs="Times New Roman"/>
          <w:sz w:val="32"/>
          <w:szCs w:val="32"/>
        </w:rPr>
        <w:t>。</w:t>
      </w:r>
    </w:p>
    <w:p>
      <w:pPr>
        <w:keepNext w:val="0"/>
        <w:keepLines w:val="0"/>
        <w:pageBreakBefore w:val="0"/>
        <w:widowControl w:val="0"/>
        <w:numPr>
          <w:ilvl w:val="255"/>
          <w:numId w:val="0"/>
        </w:numPr>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pPr>
        <w:keepNext w:val="0"/>
        <w:keepLines w:val="0"/>
        <w:pageBreakBefore w:val="0"/>
        <w:widowControl w:val="0"/>
        <w:numPr>
          <w:ilvl w:val="255"/>
          <w:numId w:val="0"/>
        </w:numPr>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keepNext w:val="0"/>
        <w:keepLines w:val="0"/>
        <w:pageBreakBefore w:val="0"/>
        <w:widowControl w:val="0"/>
        <w:numPr>
          <w:ilvl w:val="255"/>
          <w:numId w:val="0"/>
        </w:numPr>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pPr>
        <w:keepNext w:val="0"/>
        <w:keepLines w:val="0"/>
        <w:pageBreakBefore w:val="0"/>
        <w:widowControl w:val="0"/>
        <w:numPr>
          <w:ilvl w:val="255"/>
          <w:numId w:val="0"/>
        </w:numPr>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pPr>
        <w:keepNext w:val="0"/>
        <w:keepLines w:val="0"/>
        <w:pageBreakBefore w:val="0"/>
        <w:widowControl w:val="0"/>
        <w:numPr>
          <w:ilvl w:val="255"/>
          <w:numId w:val="0"/>
        </w:numPr>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w:t>
      </w:r>
      <w:r>
        <w:rPr>
          <w:rFonts w:hint="eastAsia" w:ascii="Times New Roman" w:hAnsi="Times New Roman" w:eastAsia="仿宋_GB2312" w:cs="Times New Roman"/>
          <w:sz w:val="32"/>
          <w:szCs w:val="32"/>
        </w:rPr>
        <w:t>根据《</w:t>
      </w:r>
      <w:r>
        <w:rPr>
          <w:rFonts w:hint="eastAsia" w:ascii="Times New Roman" w:hAnsi="Times New Roman" w:eastAsia="仿宋_GB2312" w:cs="Times New Roman"/>
          <w:sz w:val="32"/>
          <w:szCs w:val="32"/>
          <w:lang w:eastAsia="zh-CN"/>
        </w:rPr>
        <w:t>印发</w:t>
      </w:r>
      <w:r>
        <w:rPr>
          <w:rFonts w:hint="eastAsia" w:ascii="Times New Roman" w:hAnsi="Times New Roman" w:eastAsia="仿宋_GB2312" w:cs="Times New Roman"/>
          <w:sz w:val="32"/>
          <w:szCs w:val="32"/>
        </w:rPr>
        <w:t>广东省征收农村集体土地留用地管理办法</w:t>
      </w:r>
      <w:r>
        <w:rPr>
          <w:rFonts w:hint="eastAsia" w:ascii="Times New Roman" w:hAnsi="Times New Roman" w:eastAsia="仿宋_GB2312" w:cs="Times New Roman"/>
          <w:sz w:val="32"/>
          <w:szCs w:val="32"/>
          <w:lang w:eastAsia="zh-CN"/>
        </w:rPr>
        <w:t>（试行）的通知</w:t>
      </w:r>
      <w:r>
        <w:rPr>
          <w:rFonts w:hint="eastAsia" w:ascii="Times New Roman" w:hAnsi="Times New Roman" w:eastAsia="仿宋_GB2312" w:cs="Times New Roman"/>
          <w:sz w:val="32"/>
          <w:szCs w:val="32"/>
        </w:rPr>
        <w:t>》（粤府办〔</w:t>
      </w:r>
      <w:r>
        <w:rPr>
          <w:rFonts w:ascii="Times New Roman" w:hAnsi="Times New Roman" w:eastAsia="仿宋_GB2312" w:cs="Times New Roman"/>
          <w:sz w:val="32"/>
          <w:szCs w:val="32"/>
        </w:rPr>
        <w:t>2009〕41号）、《广东省人民政府办公厅关于加强征收农村集体土地留用地安置管理工作的意见》（粤府办〔2016〕30号）相关规定，按实际征收土地面积的10%安排留用地，留用地兑现方式为</w:t>
      </w:r>
      <w:r>
        <w:rPr>
          <w:rFonts w:ascii="Times New Roman" w:hAnsi="Times New Roman" w:eastAsia="仿宋_GB2312" w:cs="Times New Roman"/>
          <w:sz w:val="32"/>
          <w:szCs w:val="32"/>
          <w:highlight w:val="none"/>
        </w:rPr>
        <w:t>实物留地</w:t>
      </w:r>
      <w:r>
        <w:rPr>
          <w:rFonts w:ascii="Times New Roman" w:hAnsi="Times New Roman" w:eastAsia="仿宋_GB2312" w:cs="Times New Roman"/>
          <w:sz w:val="32"/>
          <w:szCs w:val="32"/>
        </w:rPr>
        <w:t>。</w:t>
      </w:r>
    </w:p>
    <w:p>
      <w:pPr>
        <w:keepNext w:val="0"/>
        <w:keepLines w:val="0"/>
        <w:pageBreakBefore w:val="0"/>
        <w:widowControl w:val="0"/>
        <w:numPr>
          <w:ilvl w:val="255"/>
          <w:numId w:val="0"/>
        </w:numPr>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（三）社会保障费用。根据《广东省人民政府办公厅转发省人力资源社会保障厅关于进一步完善我省被征地农民养老保障政策意见的通知》（粤府办〔2021〕22号）规定，核定该项目按2.14</w:t>
      </w:r>
      <w:r>
        <w:rPr>
          <w:rFonts w:hint="eastAsia" w:ascii="Times New Roman" w:hAnsi="Times New Roman" w:eastAsia="仿宋_GB2312" w:cs="Times New Roman"/>
          <w:sz w:val="32"/>
          <w:szCs w:val="32"/>
        </w:rPr>
        <w:t>万元/亩的</w:t>
      </w:r>
      <w:r>
        <w:rPr>
          <w:rFonts w:ascii="Times New Roman" w:hAnsi="Times New Roman" w:eastAsia="仿宋_GB2312" w:cs="Times New Roman"/>
          <w:sz w:val="32"/>
          <w:szCs w:val="32"/>
        </w:rPr>
        <w:t>标准一次性</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集体被征地农民养老保障资金存入“收缴被征地农民养老保障资金过渡户”，费用合计</w:t>
      </w:r>
      <w:r>
        <w:rPr>
          <w:rFonts w:hint="eastAsia" w:ascii="Times New Roman" w:hAnsi="Times New Roman" w:eastAsia="仿宋_GB2312" w:cs="Times New Roman"/>
          <w:sz w:val="32"/>
          <w:szCs w:val="32"/>
          <w:highlight w:val="none"/>
          <w:lang w:val="en-US" w:eastAsia="zh-CN"/>
        </w:rPr>
        <w:t>446.86</w:t>
      </w:r>
      <w:r>
        <w:rPr>
          <w:rFonts w:ascii="Times New Roman" w:hAnsi="Times New Roman" w:eastAsia="仿宋_GB2312" w:cs="Times New Roman"/>
          <w:sz w:val="32"/>
          <w:szCs w:val="32"/>
          <w:highlight w:val="none"/>
        </w:rPr>
        <w:t>万元</w:t>
      </w:r>
      <w:r>
        <w:rPr>
          <w:rFonts w:ascii="Times New Roman" w:hAnsi="Times New Roman" w:eastAsia="仿宋_GB2312" w:cs="Times New Roman"/>
          <w:sz w:val="32"/>
          <w:szCs w:val="32"/>
        </w:rPr>
        <w:t>，专款用于被征地农民缴纳养老保险费用。征地批准文件批复的实际范围有变化的，</w:t>
      </w:r>
      <w:r>
        <w:rPr>
          <w:rFonts w:ascii="Times New Roman" w:hAnsi="Times New Roman" w:eastAsia="仿宋_GB2312" w:cs="Times New Roman"/>
          <w:bCs/>
          <w:sz w:val="32"/>
          <w:szCs w:val="32"/>
        </w:rPr>
        <w:t>费用将做相应调整。</w:t>
      </w:r>
    </w:p>
    <w:p>
      <w:pPr>
        <w:keepNext w:val="0"/>
        <w:keepLines w:val="0"/>
        <w:pageBreakBefore w:val="0"/>
        <w:widowControl w:val="0"/>
        <w:numPr>
          <w:ilvl w:val="255"/>
          <w:numId w:val="0"/>
        </w:numPr>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p>
    <w:p>
      <w:pPr>
        <w:keepNext w:val="0"/>
        <w:keepLines w:val="0"/>
        <w:pageBreakBefore w:val="0"/>
        <w:widowControl w:val="0"/>
        <w:numPr>
          <w:ilvl w:val="255"/>
          <w:numId w:val="0"/>
        </w:numPr>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bCs/>
          <w:sz w:val="32"/>
          <w:szCs w:val="32"/>
        </w:rPr>
      </w:pPr>
    </w:p>
    <w:p>
      <w:pPr>
        <w:keepNext w:val="0"/>
        <w:keepLines w:val="0"/>
        <w:pageBreakBefore w:val="0"/>
        <w:widowControl w:val="0"/>
        <w:numPr>
          <w:ilvl w:val="255"/>
          <w:numId w:val="0"/>
        </w:numPr>
        <w:kinsoku/>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bCs/>
          <w:sz w:val="32"/>
          <w:szCs w:val="32"/>
        </w:rPr>
      </w:pPr>
    </w:p>
    <w:p>
      <w:pPr>
        <w:keepNext w:val="0"/>
        <w:keepLines w:val="0"/>
        <w:pageBreakBefore w:val="0"/>
        <w:widowControl w:val="0"/>
        <w:kinsoku/>
        <w:overflowPunct/>
        <w:topLinePunct w:val="0"/>
        <w:autoSpaceDE/>
        <w:autoSpaceDN/>
        <w:bidi w:val="0"/>
        <w:adjustRightInd/>
        <w:snapToGrid/>
        <w:spacing w:line="52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ascii="Times New Roman" w:hAnsi="Times New Roman" w:eastAsia="仿宋_GB2312" w:cs="Times New Roman"/>
          <w:szCs w:val="24"/>
        </w:rPr>
      </w:pP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36749"/>
    <w:rsid w:val="00072859"/>
    <w:rsid w:val="00082361"/>
    <w:rsid w:val="000B145B"/>
    <w:rsid w:val="000D4B79"/>
    <w:rsid w:val="000E5884"/>
    <w:rsid w:val="000F4B96"/>
    <w:rsid w:val="0015098A"/>
    <w:rsid w:val="00163993"/>
    <w:rsid w:val="00164ED0"/>
    <w:rsid w:val="00177C23"/>
    <w:rsid w:val="0018297B"/>
    <w:rsid w:val="00194701"/>
    <w:rsid w:val="001947BC"/>
    <w:rsid w:val="001A344A"/>
    <w:rsid w:val="001A469B"/>
    <w:rsid w:val="001B07D1"/>
    <w:rsid w:val="002231C2"/>
    <w:rsid w:val="00234876"/>
    <w:rsid w:val="00272022"/>
    <w:rsid w:val="00281F6C"/>
    <w:rsid w:val="002B1663"/>
    <w:rsid w:val="0031459E"/>
    <w:rsid w:val="003173F7"/>
    <w:rsid w:val="00324AE5"/>
    <w:rsid w:val="00326331"/>
    <w:rsid w:val="00335BE3"/>
    <w:rsid w:val="00386225"/>
    <w:rsid w:val="003A6945"/>
    <w:rsid w:val="003A7453"/>
    <w:rsid w:val="003A7E44"/>
    <w:rsid w:val="003F5777"/>
    <w:rsid w:val="00416C7C"/>
    <w:rsid w:val="004231B2"/>
    <w:rsid w:val="0047585C"/>
    <w:rsid w:val="004969ED"/>
    <w:rsid w:val="004A1605"/>
    <w:rsid w:val="004B531D"/>
    <w:rsid w:val="004E6319"/>
    <w:rsid w:val="00531C37"/>
    <w:rsid w:val="00581B80"/>
    <w:rsid w:val="00584267"/>
    <w:rsid w:val="00596ED2"/>
    <w:rsid w:val="005A6E3C"/>
    <w:rsid w:val="005E434A"/>
    <w:rsid w:val="00604E24"/>
    <w:rsid w:val="00654482"/>
    <w:rsid w:val="006712FB"/>
    <w:rsid w:val="00680E37"/>
    <w:rsid w:val="0069527A"/>
    <w:rsid w:val="006958E6"/>
    <w:rsid w:val="006C7CB1"/>
    <w:rsid w:val="006E525F"/>
    <w:rsid w:val="006F1593"/>
    <w:rsid w:val="00733448"/>
    <w:rsid w:val="0074592B"/>
    <w:rsid w:val="007C68CD"/>
    <w:rsid w:val="007F7339"/>
    <w:rsid w:val="00890FF9"/>
    <w:rsid w:val="008A2C49"/>
    <w:rsid w:val="008D308A"/>
    <w:rsid w:val="008E1164"/>
    <w:rsid w:val="009536EC"/>
    <w:rsid w:val="009540AA"/>
    <w:rsid w:val="00954428"/>
    <w:rsid w:val="00961FDE"/>
    <w:rsid w:val="009B1324"/>
    <w:rsid w:val="00A905AC"/>
    <w:rsid w:val="00AC5419"/>
    <w:rsid w:val="00AD53AF"/>
    <w:rsid w:val="00AD6E00"/>
    <w:rsid w:val="00AE2AB9"/>
    <w:rsid w:val="00B05D16"/>
    <w:rsid w:val="00B368CB"/>
    <w:rsid w:val="00B64AE2"/>
    <w:rsid w:val="00B70CD1"/>
    <w:rsid w:val="00B84848"/>
    <w:rsid w:val="00BD106C"/>
    <w:rsid w:val="00C05E90"/>
    <w:rsid w:val="00C4429A"/>
    <w:rsid w:val="00C53D10"/>
    <w:rsid w:val="00C555BB"/>
    <w:rsid w:val="00CB07E2"/>
    <w:rsid w:val="00CB6605"/>
    <w:rsid w:val="00D26F24"/>
    <w:rsid w:val="00D34160"/>
    <w:rsid w:val="00D67C50"/>
    <w:rsid w:val="00DA702D"/>
    <w:rsid w:val="00DD02D2"/>
    <w:rsid w:val="00E07D35"/>
    <w:rsid w:val="00E2743F"/>
    <w:rsid w:val="00E300BE"/>
    <w:rsid w:val="00E84953"/>
    <w:rsid w:val="00E93AF4"/>
    <w:rsid w:val="00EE681C"/>
    <w:rsid w:val="00F545F5"/>
    <w:rsid w:val="00F87166"/>
    <w:rsid w:val="00F91515"/>
    <w:rsid w:val="00FC4F3E"/>
    <w:rsid w:val="00FC530B"/>
    <w:rsid w:val="00FD6583"/>
    <w:rsid w:val="15CC05A9"/>
    <w:rsid w:val="16857503"/>
    <w:rsid w:val="27831764"/>
    <w:rsid w:val="2A74566C"/>
    <w:rsid w:val="2C322D80"/>
    <w:rsid w:val="31D73646"/>
    <w:rsid w:val="33393C9A"/>
    <w:rsid w:val="34BA79CA"/>
    <w:rsid w:val="42D361F6"/>
    <w:rsid w:val="46F00C05"/>
    <w:rsid w:val="476768C5"/>
    <w:rsid w:val="4823227C"/>
    <w:rsid w:val="485566E5"/>
    <w:rsid w:val="4A784831"/>
    <w:rsid w:val="50A67CD2"/>
    <w:rsid w:val="5E070CE7"/>
    <w:rsid w:val="616F7F68"/>
    <w:rsid w:val="63EC231D"/>
    <w:rsid w:val="6B4C2113"/>
    <w:rsid w:val="70C51CDB"/>
    <w:rsid w:val="74BB5FFB"/>
    <w:rsid w:val="76E34662"/>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226</Words>
  <Characters>1294</Characters>
  <Lines>10</Lines>
  <Paragraphs>3</Paragraphs>
  <TotalTime>8</TotalTime>
  <ScaleCrop>false</ScaleCrop>
  <LinksUpToDate>false</LinksUpToDate>
  <CharactersWithSpaces>1517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陈湘鹏</cp:lastModifiedBy>
  <cp:lastPrinted>2024-01-04T03:01:00Z</cp:lastPrinted>
  <dcterms:modified xsi:type="dcterms:W3CDTF">2024-09-26T10:37:23Z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F55EA9754A8E4AAC883B87AC670ABF96</vt:lpwstr>
  </property>
</Properties>
</file>