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760FBA">
      <w:pPr>
        <w:spacing w:line="560" w:lineRule="exact"/>
        <w:jc w:val="center"/>
        <w:rPr>
          <w:rFonts w:ascii="Times New Roman" w:hAnsi="Times New Roman" w:eastAsia="方正小标宋简体" w:cs="Times New Roman"/>
          <w:sz w:val="44"/>
          <w:szCs w:val="44"/>
        </w:rPr>
      </w:pPr>
    </w:p>
    <w:p w14:paraId="47461781">
      <w:pPr>
        <w:spacing w:line="560" w:lineRule="exact"/>
        <w:jc w:val="center"/>
        <w:rPr>
          <w:rFonts w:ascii="Times New Roman" w:hAnsi="Times New Roman" w:eastAsia="方正小标宋简体" w:cs="Times New Roman"/>
          <w:sz w:val="44"/>
          <w:szCs w:val="44"/>
        </w:rPr>
      </w:pPr>
    </w:p>
    <w:p w14:paraId="6A479052">
      <w:pPr>
        <w:spacing w:line="560" w:lineRule="exact"/>
        <w:jc w:val="center"/>
        <w:rPr>
          <w:rFonts w:ascii="Times New Roman" w:hAnsi="Times New Roman" w:eastAsia="方正小标宋简体" w:cs="Times New Roman"/>
          <w:sz w:val="44"/>
          <w:szCs w:val="44"/>
        </w:rPr>
      </w:pPr>
    </w:p>
    <w:p w14:paraId="70FFF926">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关于</w:t>
      </w:r>
      <w:r>
        <w:rPr>
          <w:rFonts w:hint="eastAsia" w:ascii="Times New Roman" w:hAnsi="Times New Roman" w:eastAsia="方正小标宋简体" w:cs="Times New Roman"/>
          <w:sz w:val="44"/>
          <w:szCs w:val="44"/>
        </w:rPr>
        <w:t>广州市花都区</w:t>
      </w:r>
      <w:r>
        <w:rPr>
          <w:rFonts w:ascii="Times New Roman" w:hAnsi="Times New Roman" w:eastAsia="方正小标宋简体" w:cs="Times New Roman"/>
          <w:sz w:val="44"/>
          <w:szCs w:val="44"/>
        </w:rPr>
        <w:t>2024年度第</w:t>
      </w:r>
      <w:r>
        <w:rPr>
          <w:rFonts w:hint="eastAsia" w:ascii="Times New Roman" w:hAnsi="Times New Roman" w:eastAsia="方正小标宋简体" w:cs="Times New Roman"/>
          <w:sz w:val="44"/>
          <w:szCs w:val="44"/>
        </w:rPr>
        <w:t>六十四</w:t>
      </w:r>
      <w:r>
        <w:rPr>
          <w:rFonts w:ascii="Times New Roman" w:hAnsi="Times New Roman" w:eastAsia="方正小标宋简体" w:cs="Times New Roman"/>
          <w:sz w:val="44"/>
          <w:szCs w:val="44"/>
        </w:rPr>
        <w:t>批次城镇建设用地（</w:t>
      </w:r>
      <w:r>
        <w:rPr>
          <w:rFonts w:hint="eastAsia" w:ascii="Times New Roman" w:hAnsi="Times New Roman" w:eastAsia="方正小标宋简体" w:cs="Times New Roman"/>
          <w:sz w:val="44"/>
          <w:szCs w:val="44"/>
        </w:rPr>
        <w:t>广州市花都区三华村</w:t>
      </w:r>
    </w:p>
    <w:p w14:paraId="30897B44">
      <w:pPr>
        <w:spacing w:line="56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城中村改造项目地块一安置房</w:t>
      </w:r>
    </w:p>
    <w:p w14:paraId="01D15430">
      <w:pPr>
        <w:spacing w:line="560" w:lineRule="exact"/>
        <w:jc w:val="center"/>
        <w:rPr>
          <w:rFonts w:ascii="Times New Roman" w:hAnsi="Times New Roman" w:eastAsia="方正小标宋简体" w:cs="Times New Roman"/>
          <w:sz w:val="44"/>
          <w:szCs w:val="44"/>
        </w:rPr>
      </w:pPr>
      <w:r>
        <w:rPr>
          <w:rFonts w:hint="eastAsia" w:ascii="方正小标宋简体" w:hAnsi="宋体" w:eastAsia="方正小标宋简体" w:cs="Times New Roman"/>
          <w:sz w:val="44"/>
          <w:szCs w:val="44"/>
        </w:rPr>
        <w:t>〔</w:t>
      </w:r>
      <w:r>
        <w:rPr>
          <w:rFonts w:hint="eastAsia" w:ascii="Times New Roman" w:hAnsi="Times New Roman" w:eastAsia="方正小标宋简体" w:cs="Times New Roman"/>
          <w:sz w:val="44"/>
          <w:szCs w:val="44"/>
        </w:rPr>
        <w:t>低效用地</w:t>
      </w:r>
      <w:r>
        <w:rPr>
          <w:rFonts w:hint="eastAsia" w:ascii="方正小标宋简体" w:hAnsi="宋体" w:eastAsia="方正小标宋简体" w:cs="Times New Roman"/>
          <w:sz w:val="44"/>
          <w:szCs w:val="44"/>
        </w:rPr>
        <w:t>〕</w:t>
      </w:r>
      <w:r>
        <w:rPr>
          <w:rFonts w:ascii="Times New Roman" w:hAnsi="Times New Roman" w:eastAsia="方正小标宋简体" w:cs="Times New Roman"/>
          <w:sz w:val="44"/>
          <w:szCs w:val="44"/>
        </w:rPr>
        <w:t>）的征地</w:t>
      </w:r>
    </w:p>
    <w:p w14:paraId="40B2437B">
      <w:pPr>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补偿安置方案</w:t>
      </w:r>
    </w:p>
    <w:p w14:paraId="17DC984C">
      <w:pPr>
        <w:spacing w:line="560" w:lineRule="exact"/>
        <w:ind w:firstLine="640" w:firstLineChars="200"/>
        <w:rPr>
          <w:rFonts w:ascii="Times New Roman" w:hAnsi="Times New Roman" w:eastAsia="仿宋_GB2312" w:cs="Times New Roman"/>
          <w:sz w:val="32"/>
          <w:szCs w:val="32"/>
        </w:rPr>
      </w:pPr>
    </w:p>
    <w:p w14:paraId="11D3A359">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为实施</w:t>
      </w:r>
      <w:r>
        <w:rPr>
          <w:rFonts w:ascii="Times New Roman" w:hAnsi="Times New Roman" w:eastAsia="仿宋_GB2312" w:cs="Times New Roman"/>
          <w:sz w:val="32"/>
        </w:rPr>
        <w:t>广州市花都区</w:t>
      </w:r>
      <w:r>
        <w:rPr>
          <w:rFonts w:hint="eastAsia" w:ascii="Times New Roman" w:hAnsi="Times New Roman" w:eastAsia="仿宋_GB2312" w:cs="Times New Roman"/>
          <w:sz w:val="32"/>
        </w:rPr>
        <w:t>新华街</w:t>
      </w:r>
      <w:r>
        <w:rPr>
          <w:rFonts w:ascii="Times New Roman" w:hAnsi="Times New Roman" w:eastAsia="仿宋_GB2312" w:cs="Times New Roman"/>
          <w:sz w:val="32"/>
          <w:szCs w:val="32"/>
        </w:rPr>
        <w:t>建设规划，完善城市功能，改善城市环境，促进经济、文化发展，广州市花都区人民政府拟征收</w:t>
      </w:r>
      <w:r>
        <w:rPr>
          <w:rFonts w:hint="eastAsia" w:ascii="Times New Roman" w:hAnsi="Times New Roman" w:eastAsia="仿宋_GB2312" w:cs="Times New Roman"/>
          <w:sz w:val="32"/>
          <w:szCs w:val="32"/>
        </w:rPr>
        <w:t>广州市花都区新华街三华村西华经济合作社，元华经济合作社属下的集体土地</w:t>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3505公顷。根据《中华人民共和国土地管理法》第二条、第四十五条、第四十七条，《中华人民共和国土地管理法实施条例》第二十七条、第二十八条，以及《广东省土地管理条例》第三十条等规定，结合</w:t>
      </w:r>
      <w:r>
        <w:rPr>
          <w:rFonts w:hint="eastAsia" w:ascii="Times New Roman" w:hAnsi="Times New Roman" w:eastAsia="仿宋_GB2312" w:cs="Times New Roman"/>
          <w:sz w:val="32"/>
          <w:szCs w:val="32"/>
        </w:rPr>
        <w:t>花都</w:t>
      </w:r>
      <w:r>
        <w:rPr>
          <w:rFonts w:ascii="Times New Roman" w:hAnsi="Times New Roman" w:eastAsia="仿宋_GB2312" w:cs="Times New Roman"/>
          <w:sz w:val="32"/>
          <w:szCs w:val="32"/>
        </w:rPr>
        <w:t>区的征收农用地区片综合地价和实际情况，拟定了征地补偿安置方案，具体如下：</w:t>
      </w:r>
    </w:p>
    <w:p w14:paraId="7F2E42C1">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sz w:val="32"/>
          <w:szCs w:val="32"/>
        </w:rPr>
        <w:t>一、征收范围</w:t>
      </w:r>
    </w:p>
    <w:p w14:paraId="5941922F">
      <w:pPr>
        <w:numPr>
          <w:ilvl w:val="255"/>
          <w:numId w:val="0"/>
        </w:numPr>
        <w:spacing w:line="560" w:lineRule="exact"/>
        <w:ind w:firstLine="640" w:firstLineChars="200"/>
        <w:rPr>
          <w:rFonts w:ascii="Times New Roman" w:hAnsi="Times New Roman" w:eastAsia="仿宋_GB2312" w:cs="Times New Roman"/>
          <w:bCs/>
          <w:sz w:val="32"/>
          <w:szCs w:val="32"/>
        </w:rPr>
      </w:pPr>
      <w:bookmarkStart w:id="0" w:name="_Hlk161301917"/>
      <w:r>
        <w:rPr>
          <w:rFonts w:ascii="Times New Roman" w:hAnsi="Times New Roman" w:eastAsia="仿宋_GB2312" w:cs="Times New Roman"/>
          <w:bCs/>
          <w:sz w:val="32"/>
          <w:szCs w:val="32"/>
        </w:rPr>
        <w:t>拟征收土地位于</w:t>
      </w:r>
      <w:r>
        <w:rPr>
          <w:rFonts w:hint="eastAsia" w:ascii="Times New Roman" w:hAnsi="Times New Roman" w:eastAsia="仿宋_GB2312" w:cs="Times New Roman"/>
          <w:bCs/>
          <w:sz w:val="32"/>
          <w:szCs w:val="32"/>
        </w:rPr>
        <w:t>广州市花都区新华街三华村西华经济合作社，元华经济合作社</w:t>
      </w:r>
      <w:r>
        <w:rPr>
          <w:rFonts w:ascii="Times New Roman" w:hAnsi="Times New Roman" w:eastAsia="仿宋_GB2312" w:cs="Times New Roman"/>
          <w:bCs/>
          <w:sz w:val="32"/>
          <w:szCs w:val="32"/>
        </w:rPr>
        <w:t>范围内</w:t>
      </w:r>
      <w:bookmarkEnd w:id="0"/>
      <w:r>
        <w:rPr>
          <w:rFonts w:ascii="Times New Roman" w:hAnsi="Times New Roman" w:eastAsia="仿宋_GB2312" w:cs="Times New Roman"/>
          <w:bCs/>
          <w:sz w:val="32"/>
          <w:szCs w:val="32"/>
        </w:rPr>
        <w:t>。实际征收土地范围以最终批准文件为准。</w:t>
      </w:r>
    </w:p>
    <w:p w14:paraId="69135CEA">
      <w:pPr>
        <w:numPr>
          <w:ilvl w:val="255"/>
          <w:numId w:val="0"/>
        </w:num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二、征收目的</w:t>
      </w:r>
    </w:p>
    <w:p w14:paraId="26E06071">
      <w:pPr>
        <w:numPr>
          <w:ilvl w:val="255"/>
          <w:numId w:val="0"/>
        </w:numPr>
        <w:spacing w:line="560" w:lineRule="exact"/>
        <w:ind w:firstLine="640" w:firstLineChars="200"/>
        <w:rPr>
          <w:rFonts w:ascii="Times New Roman" w:hAnsi="Times New Roman" w:eastAsia="仿宋_GB2312" w:cs="Times New Roman"/>
          <w:bCs/>
          <w:sz w:val="32"/>
          <w:szCs w:val="32"/>
        </w:rPr>
      </w:pPr>
      <w:bookmarkStart w:id="1" w:name="_Hlk142467650"/>
      <w:r>
        <w:rPr>
          <w:rFonts w:hint="eastAsia" w:ascii="Times New Roman" w:hAnsi="Times New Roman" w:eastAsia="仿宋_GB2312" w:cs="Times New Roman"/>
          <w:bCs/>
          <w:sz w:val="32"/>
          <w:szCs w:val="32"/>
        </w:rPr>
        <w:t>根据《中华人民共和国土地管理法》第四十五条的规定，本次征收土地目的为，为了公共利益的需要，由政府组织实施的成片开发建设需要。</w:t>
      </w:r>
    </w:p>
    <w:bookmarkEnd w:id="1"/>
    <w:p w14:paraId="08E083F4">
      <w:pPr>
        <w:numPr>
          <w:ilvl w:val="255"/>
          <w:numId w:val="0"/>
        </w:numPr>
        <w:spacing w:line="55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三、土地现状</w:t>
      </w:r>
    </w:p>
    <w:p w14:paraId="2832E442">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Cs/>
          <w:sz w:val="32"/>
          <w:szCs w:val="32"/>
        </w:rPr>
        <w:t>根据拟征收土地现状调查结果，拟征收土地现状为</w:t>
      </w:r>
      <w:r>
        <w:rPr>
          <w:rFonts w:hint="eastAsia" w:ascii="Times New Roman" w:hAnsi="Times New Roman" w:eastAsia="仿宋_GB2312" w:cs="Times New Roman"/>
          <w:bCs/>
          <w:sz w:val="32"/>
          <w:szCs w:val="32"/>
        </w:rPr>
        <w:t>：</w:t>
      </w:r>
    </w:p>
    <w:p w14:paraId="436B8FCB">
      <w:pPr>
        <w:numPr>
          <w:ilvl w:val="255"/>
          <w:numId w:val="0"/>
        </w:numPr>
        <w:spacing w:line="560" w:lineRule="exact"/>
        <w:ind w:firstLine="640" w:firstLineChars="200"/>
        <w:rPr>
          <w:rFonts w:ascii="Times New Roman" w:hAnsi="Times New Roman" w:eastAsia="仿宋_GB2312" w:cs="Times New Roman"/>
          <w:sz w:val="32"/>
          <w:szCs w:val="32"/>
        </w:rPr>
      </w:pPr>
      <w:bookmarkStart w:id="2" w:name="_Hlk155255234"/>
      <w:r>
        <w:rPr>
          <w:rFonts w:ascii="Times New Roman" w:hAnsi="Times New Roman" w:eastAsia="仿宋_GB2312" w:cs="Times New Roman"/>
          <w:sz w:val="32"/>
          <w:szCs w:val="32"/>
        </w:rPr>
        <w:t>拟征收</w:t>
      </w:r>
      <w:r>
        <w:rPr>
          <w:rFonts w:hint="eastAsia" w:ascii="Times New Roman" w:hAnsi="Times New Roman" w:eastAsia="仿宋_GB2312" w:cs="Times New Roman"/>
          <w:sz w:val="32"/>
          <w:szCs w:val="32"/>
        </w:rPr>
        <w:t>广州市花都区新华街三华村西华经济合作社，元华经济合作社属下的集体土地</w:t>
      </w:r>
      <w:r>
        <w:rPr>
          <w:rFonts w:ascii="Times New Roman" w:hAnsi="Times New Roman" w:eastAsia="仿宋_GB2312" w:cs="Times New Roman"/>
          <w:sz w:val="32"/>
          <w:szCs w:val="32"/>
        </w:rPr>
        <w:t>1.3505公顷（20.2575‬亩）。</w:t>
      </w:r>
      <w:r>
        <w:rPr>
          <w:rFonts w:hint="eastAsia" w:ascii="Times New Roman" w:hAnsi="Times New Roman" w:eastAsia="仿宋_GB2312" w:cs="Times New Roman"/>
          <w:sz w:val="32"/>
          <w:szCs w:val="32"/>
        </w:rPr>
        <w:t>均为建设用地</w:t>
      </w:r>
      <w:r>
        <w:rPr>
          <w:rFonts w:ascii="Times New Roman" w:hAnsi="Times New Roman" w:eastAsia="仿宋_GB2312" w:cs="Times New Roman"/>
          <w:sz w:val="32"/>
          <w:szCs w:val="32"/>
        </w:rPr>
        <w:t>，不涉及</w:t>
      </w:r>
      <w:r>
        <w:rPr>
          <w:rFonts w:hint="eastAsia" w:ascii="Times New Roman" w:hAnsi="Times New Roman" w:eastAsia="仿宋_GB2312" w:cs="Times New Roman"/>
          <w:sz w:val="32"/>
          <w:szCs w:val="32"/>
        </w:rPr>
        <w:t>农用地和</w:t>
      </w:r>
      <w:r>
        <w:rPr>
          <w:rFonts w:ascii="Times New Roman" w:hAnsi="Times New Roman" w:eastAsia="仿宋_GB2312" w:cs="Times New Roman"/>
          <w:sz w:val="32"/>
          <w:szCs w:val="32"/>
        </w:rPr>
        <w:t>未利用地</w:t>
      </w:r>
      <w:r>
        <w:rPr>
          <w:rFonts w:hint="eastAsia" w:ascii="Times New Roman" w:hAnsi="Times New Roman" w:eastAsia="仿宋_GB2312" w:cs="Times New Roman"/>
          <w:sz w:val="32"/>
          <w:szCs w:val="32"/>
        </w:rPr>
        <w:t>。</w:t>
      </w:r>
    </w:p>
    <w:bookmarkEnd w:id="2"/>
    <w:p w14:paraId="5368E735">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四、补偿方式和标准</w:t>
      </w:r>
    </w:p>
    <w:p w14:paraId="7A7ABA6F">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（一）土地补偿费和安置补助费标准</w:t>
      </w:r>
    </w:p>
    <w:p w14:paraId="514F40E4">
      <w:pPr>
        <w:numPr>
          <w:ilvl w:val="255"/>
          <w:numId w:val="0"/>
        </w:num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bookmarkStart w:id="3" w:name="_Hlk161302113"/>
      <w:r>
        <w:rPr>
          <w:rFonts w:hint="eastAsia" w:ascii="Times New Roman" w:hAnsi="Times New Roman" w:eastAsia="仿宋_GB2312" w:cs="Times New Roman"/>
          <w:sz w:val="32"/>
          <w:szCs w:val="32"/>
        </w:rPr>
        <w:t>广东省自然资源厅关于广州市征收农用地区片综合地价成果的批复</w:t>
      </w:r>
      <w:bookmarkEnd w:id="3"/>
      <w:r>
        <w:rPr>
          <w:rFonts w:hint="eastAsia" w:ascii="Times New Roman" w:hAnsi="Times New Roman" w:eastAsia="仿宋_GB2312" w:cs="Times New Roman"/>
          <w:sz w:val="32"/>
          <w:szCs w:val="32"/>
        </w:rPr>
        <w:t>》（粤自然资函〔</w:t>
      </w:r>
      <w:r>
        <w:rPr>
          <w:rFonts w:ascii="Times New Roman" w:hAnsi="Times New Roman" w:eastAsia="仿宋_GB2312" w:cs="Times New Roman"/>
          <w:sz w:val="32"/>
          <w:szCs w:val="32"/>
        </w:rPr>
        <w:t>2024</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103</w:t>
      </w:r>
      <w:r>
        <w:rPr>
          <w:rFonts w:hint="eastAsia" w:ascii="Times New Roman" w:hAnsi="Times New Roman" w:eastAsia="仿宋_GB2312" w:cs="Times New Roman"/>
          <w:sz w:val="32"/>
          <w:szCs w:val="32"/>
        </w:rPr>
        <w:t>号）的规定，建设用地土地补偿标准为</w:t>
      </w:r>
      <w:r>
        <w:rPr>
          <w:rFonts w:ascii="Times New Roman" w:hAnsi="Times New Roman" w:eastAsia="仿宋_GB2312" w:cs="Times New Roman"/>
          <w:sz w:val="32"/>
          <w:szCs w:val="32"/>
        </w:rPr>
        <w:t>240</w:t>
      </w:r>
      <w:r>
        <w:rPr>
          <w:rFonts w:hint="eastAsia" w:ascii="Times New Roman" w:hAnsi="Times New Roman" w:eastAsia="仿宋_GB2312" w:cs="Times New Roman"/>
          <w:sz w:val="32"/>
          <w:szCs w:val="32"/>
        </w:rPr>
        <w:t>万元</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公顷。</w:t>
      </w:r>
    </w:p>
    <w:p w14:paraId="0784EA77">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农村村民住宅、青苗及其他地上附着物补偿</w:t>
      </w:r>
    </w:p>
    <w:p w14:paraId="063FBBEC">
      <w:pPr>
        <w:numPr>
          <w:ilvl w:val="255"/>
          <w:numId w:val="0"/>
        </w:numPr>
        <w:spacing w:line="55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农村村民住宅补偿费、青苗补偿费及地上附着物补偿费等其他补偿费用参照《广州市花都区人民政府办公室印发花都区片区征地包干补偿工作方案的通知》（花府办〔</w:t>
      </w:r>
      <w:r>
        <w:rPr>
          <w:rFonts w:ascii="Times New Roman" w:hAnsi="Times New Roman" w:eastAsia="仿宋_GB2312" w:cs="Times New Roman"/>
          <w:sz w:val="32"/>
          <w:szCs w:val="32"/>
        </w:rPr>
        <w:t>2016〕12号）等有关规定进行补偿。</w:t>
      </w:r>
    </w:p>
    <w:p w14:paraId="0D376BB2">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五、安置对象</w:t>
      </w:r>
    </w:p>
    <w:p w14:paraId="222B51CD">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72EDD98C">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六、安置方式和社会保障</w:t>
      </w:r>
    </w:p>
    <w:p w14:paraId="29BFB2EB">
      <w:pPr>
        <w:numPr>
          <w:ilvl w:val="255"/>
          <w:numId w:val="0"/>
        </w:numPr>
        <w:spacing w:line="55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（一）货币安置。所需费用已包含在土地补偿安置费中。</w:t>
      </w:r>
    </w:p>
    <w:p w14:paraId="3A3F99F1">
      <w:pPr>
        <w:numPr>
          <w:ilvl w:val="255"/>
          <w:numId w:val="0"/>
        </w:num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（二）留用地安置。</w:t>
      </w:r>
      <w:r>
        <w:rPr>
          <w:rFonts w:hint="eastAsia" w:ascii="Times New Roman" w:hAnsi="Times New Roman" w:eastAsia="仿宋_GB2312" w:cs="Times New Roman"/>
          <w:sz w:val="32"/>
          <w:szCs w:val="32"/>
        </w:rPr>
        <w:t>根据《印发广东省征收农村集体土地留用地管理办法（试行）的通知》（粤府办〔</w:t>
      </w:r>
      <w:r>
        <w:rPr>
          <w:rFonts w:ascii="Times New Roman" w:hAnsi="Times New Roman" w:eastAsia="仿宋_GB2312" w:cs="Times New Roman"/>
          <w:sz w:val="32"/>
          <w:szCs w:val="32"/>
        </w:rPr>
        <w:t>2009〕41号）、《广东省人民政府办公厅关于加强征收农村集体土地留用地安置管理工作的意见》（粤府办〔2016〕30号）相关规定，按实际征收土地面积的10%安排留用地，留用地兑现方式为实物留地。</w:t>
      </w:r>
    </w:p>
    <w:p w14:paraId="350191B6">
      <w:pPr>
        <w:numPr>
          <w:ilvl w:val="255"/>
          <w:numId w:val="0"/>
        </w:num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sz w:val="32"/>
          <w:szCs w:val="32"/>
        </w:rPr>
        <w:t>（三）社会保障费用。根据《广东省人民政府办公厅转发省人力资源社会保障厅关于进一步完善我省被征地农民养老保障政策意见的通知》（粤府办〔2021〕22号）规定，核定该项目按2.14</w:t>
      </w:r>
      <w:r>
        <w:rPr>
          <w:rFonts w:hint="eastAsia" w:ascii="Times New Roman" w:hAnsi="Times New Roman" w:eastAsia="仿宋_GB2312" w:cs="Times New Roman"/>
          <w:sz w:val="32"/>
          <w:szCs w:val="32"/>
        </w:rPr>
        <w:t>万元/亩的</w:t>
      </w:r>
      <w:r>
        <w:rPr>
          <w:rFonts w:ascii="Times New Roman" w:hAnsi="Times New Roman" w:eastAsia="仿宋_GB2312" w:cs="Times New Roman"/>
          <w:sz w:val="32"/>
          <w:szCs w:val="32"/>
        </w:rPr>
        <w:t>标准一次性</w:t>
      </w:r>
      <w:r>
        <w:rPr>
          <w:rFonts w:hint="eastAsia" w:ascii="Times New Roman" w:hAnsi="Times New Roman" w:eastAsia="仿宋_GB2312" w:cs="Times New Roman"/>
          <w:sz w:val="32"/>
          <w:szCs w:val="32"/>
        </w:rPr>
        <w:t>将</w:t>
      </w:r>
      <w:r>
        <w:rPr>
          <w:rFonts w:ascii="Times New Roman" w:hAnsi="Times New Roman" w:eastAsia="仿宋_GB2312" w:cs="Times New Roman"/>
          <w:sz w:val="32"/>
          <w:szCs w:val="32"/>
        </w:rPr>
        <w:t>集体被征地农民养老保障资金存入“收缴被征地农民养老保障资金过渡户”，费用合计</w:t>
      </w:r>
      <w:r>
        <w:rPr>
          <w:rFonts w:hint="eastAsia" w:ascii="Times New Roman" w:hAnsi="Times New Roman" w:eastAsia="仿宋_GB2312" w:cs="Times New Roman"/>
          <w:sz w:val="32"/>
          <w:szCs w:val="32"/>
        </w:rPr>
        <w:t>43.36</w:t>
      </w:r>
      <w:r>
        <w:rPr>
          <w:rFonts w:ascii="Times New Roman" w:hAnsi="Times New Roman" w:eastAsia="仿宋_GB2312" w:cs="Times New Roman"/>
          <w:sz w:val="32"/>
          <w:szCs w:val="32"/>
        </w:rPr>
        <w:t>万元，专款用于被征地农民缴纳养老保险费用。征地批准文件批复的实际范围有变化的，</w:t>
      </w:r>
      <w:r>
        <w:rPr>
          <w:rFonts w:ascii="Times New Roman" w:hAnsi="Times New Roman" w:eastAsia="仿宋_GB2312" w:cs="Times New Roman"/>
          <w:bCs/>
          <w:sz w:val="32"/>
          <w:szCs w:val="32"/>
        </w:rPr>
        <w:t>费用将做相应调整。</w:t>
      </w:r>
    </w:p>
    <w:p w14:paraId="3FA4F53D">
      <w:pPr>
        <w:numPr>
          <w:ilvl w:val="255"/>
          <w:numId w:val="0"/>
        </w:numPr>
        <w:spacing w:line="560" w:lineRule="exact"/>
        <w:ind w:firstLine="640" w:firstLineChars="200"/>
        <w:rPr>
          <w:rFonts w:ascii="Times New Roman" w:hAnsi="Times New Roman" w:eastAsia="仿宋_GB2312" w:cs="Times New Roman"/>
          <w:bCs/>
          <w:sz w:val="32"/>
          <w:szCs w:val="32"/>
        </w:rPr>
      </w:pPr>
    </w:p>
    <w:p w14:paraId="43C738CB">
      <w:pPr>
        <w:numPr>
          <w:ilvl w:val="255"/>
          <w:numId w:val="0"/>
        </w:numPr>
        <w:spacing w:line="560" w:lineRule="exact"/>
        <w:ind w:firstLine="640" w:firstLineChars="200"/>
        <w:rPr>
          <w:rFonts w:ascii="Times New Roman" w:hAnsi="Times New Roman" w:eastAsia="仿宋_GB2312" w:cs="Times New Roman"/>
          <w:bCs/>
          <w:sz w:val="32"/>
          <w:szCs w:val="32"/>
        </w:rPr>
      </w:pPr>
    </w:p>
    <w:p w14:paraId="657957F3">
      <w:pPr>
        <w:spacing w:line="560" w:lineRule="exact"/>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广州市规划和自然资源局花都区分局</w:t>
      </w:r>
    </w:p>
    <w:p w14:paraId="7B2FE389">
      <w:pPr>
        <w:wordWrap w:val="0"/>
        <w:spacing w:line="560" w:lineRule="exact"/>
        <w:ind w:right="320"/>
        <w:jc w:val="right"/>
        <w:rPr>
          <w:rFonts w:ascii="Times New Roman" w:hAnsi="Times New Roman" w:eastAsia="仿宋_GB2312" w:cs="Times New Roman"/>
          <w:szCs w:val="24"/>
        </w:rPr>
      </w:pPr>
      <w:r>
        <w:rPr>
          <w:rFonts w:ascii="Times New Roman" w:hAnsi="Times New Roman" w:eastAsia="仿宋_GB2312" w:cs="Times New Roman"/>
          <w:sz w:val="32"/>
          <w:szCs w:val="32"/>
        </w:rPr>
        <w:t>2024年9月</w:t>
      </w:r>
      <w:r>
        <w:rPr>
          <w:rFonts w:hint="eastAsia" w:ascii="Times New Roman" w:hAnsi="Times New Roman" w:eastAsia="仿宋_GB2312" w:cs="Times New Roman"/>
          <w:sz w:val="32"/>
          <w:szCs w:val="32"/>
          <w:lang w:val="en-US" w:eastAsia="zh-CN"/>
        </w:rPr>
        <w:t>29</w:t>
      </w:r>
      <w:bookmarkStart w:id="4" w:name="_GoBack"/>
      <w:bookmarkEnd w:id="4"/>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7077791"/>
      <w:docPartObj>
        <w:docPartGallery w:val="AutoText"/>
      </w:docPartObj>
    </w:sdtPr>
    <w:sdtContent>
      <w:p w14:paraId="6771DF96">
        <w:pPr>
          <w:pStyle w:val="3"/>
          <w:jc w:val="center"/>
        </w:pPr>
        <w:r>
          <w:fldChar w:fldCharType="begin"/>
        </w:r>
        <w:r>
          <w:instrText xml:space="preserve">PAGE   \* MERGEFORMAT</w:instrText>
        </w:r>
        <w:r>
          <w:fldChar w:fldCharType="separate"/>
        </w:r>
        <w:r>
          <w:rPr>
            <w:lang w:val="zh-CN"/>
          </w:rPr>
          <w:t>2</w:t>
        </w:r>
        <w:r>
          <w:fldChar w:fldCharType="end"/>
        </w:r>
      </w:p>
    </w:sdtContent>
  </w:sdt>
  <w:p w14:paraId="7803C4B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96"/>
    <w:rsid w:val="0000683B"/>
    <w:rsid w:val="00036749"/>
    <w:rsid w:val="00041071"/>
    <w:rsid w:val="00072859"/>
    <w:rsid w:val="00082361"/>
    <w:rsid w:val="000B145B"/>
    <w:rsid w:val="000D4B79"/>
    <w:rsid w:val="000E5884"/>
    <w:rsid w:val="000F4B96"/>
    <w:rsid w:val="00102C0F"/>
    <w:rsid w:val="0012154A"/>
    <w:rsid w:val="00126ED4"/>
    <w:rsid w:val="00142B32"/>
    <w:rsid w:val="0015098A"/>
    <w:rsid w:val="00163993"/>
    <w:rsid w:val="00164ED0"/>
    <w:rsid w:val="00172914"/>
    <w:rsid w:val="00177C23"/>
    <w:rsid w:val="0018297B"/>
    <w:rsid w:val="001929D1"/>
    <w:rsid w:val="001947BC"/>
    <w:rsid w:val="00196404"/>
    <w:rsid w:val="001A344A"/>
    <w:rsid w:val="001A469B"/>
    <w:rsid w:val="001B07D1"/>
    <w:rsid w:val="001C1704"/>
    <w:rsid w:val="001E387E"/>
    <w:rsid w:val="002231C2"/>
    <w:rsid w:val="002269C3"/>
    <w:rsid w:val="00234876"/>
    <w:rsid w:val="00272022"/>
    <w:rsid w:val="00275650"/>
    <w:rsid w:val="002B1617"/>
    <w:rsid w:val="002B1663"/>
    <w:rsid w:val="002E24C8"/>
    <w:rsid w:val="002E4AD9"/>
    <w:rsid w:val="0031459E"/>
    <w:rsid w:val="003173F7"/>
    <w:rsid w:val="00324AE5"/>
    <w:rsid w:val="00326331"/>
    <w:rsid w:val="00335BE3"/>
    <w:rsid w:val="00365CF1"/>
    <w:rsid w:val="00386225"/>
    <w:rsid w:val="003A6945"/>
    <w:rsid w:val="003A7453"/>
    <w:rsid w:val="003A7E44"/>
    <w:rsid w:val="003B5108"/>
    <w:rsid w:val="003C5634"/>
    <w:rsid w:val="003D53DD"/>
    <w:rsid w:val="003F5777"/>
    <w:rsid w:val="00416C7C"/>
    <w:rsid w:val="004501A2"/>
    <w:rsid w:val="00450798"/>
    <w:rsid w:val="0047585C"/>
    <w:rsid w:val="0048599C"/>
    <w:rsid w:val="00491728"/>
    <w:rsid w:val="004969ED"/>
    <w:rsid w:val="004A1605"/>
    <w:rsid w:val="004B531D"/>
    <w:rsid w:val="004C37CF"/>
    <w:rsid w:val="004E6319"/>
    <w:rsid w:val="00531C37"/>
    <w:rsid w:val="00550236"/>
    <w:rsid w:val="00566A08"/>
    <w:rsid w:val="00577200"/>
    <w:rsid w:val="00580CEE"/>
    <w:rsid w:val="00580D0D"/>
    <w:rsid w:val="00581B80"/>
    <w:rsid w:val="00584267"/>
    <w:rsid w:val="00590E7C"/>
    <w:rsid w:val="00596ED2"/>
    <w:rsid w:val="005C711C"/>
    <w:rsid w:val="005C7F9F"/>
    <w:rsid w:val="005D7F5E"/>
    <w:rsid w:val="00604E24"/>
    <w:rsid w:val="0062628C"/>
    <w:rsid w:val="0065057C"/>
    <w:rsid w:val="00653DA6"/>
    <w:rsid w:val="00654482"/>
    <w:rsid w:val="006759DD"/>
    <w:rsid w:val="00680E37"/>
    <w:rsid w:val="00685574"/>
    <w:rsid w:val="006958E6"/>
    <w:rsid w:val="006A32A0"/>
    <w:rsid w:val="006B0B55"/>
    <w:rsid w:val="006B6182"/>
    <w:rsid w:val="006C7CB1"/>
    <w:rsid w:val="006E3F94"/>
    <w:rsid w:val="006F1593"/>
    <w:rsid w:val="006F28CB"/>
    <w:rsid w:val="00716A43"/>
    <w:rsid w:val="00722953"/>
    <w:rsid w:val="00725F31"/>
    <w:rsid w:val="00733448"/>
    <w:rsid w:val="0074592B"/>
    <w:rsid w:val="007B44AA"/>
    <w:rsid w:val="007B5785"/>
    <w:rsid w:val="007C68CD"/>
    <w:rsid w:val="007F7339"/>
    <w:rsid w:val="0084102A"/>
    <w:rsid w:val="00890FF9"/>
    <w:rsid w:val="008A2C49"/>
    <w:rsid w:val="008D31FF"/>
    <w:rsid w:val="008D5E31"/>
    <w:rsid w:val="008E1164"/>
    <w:rsid w:val="00953100"/>
    <w:rsid w:val="0095360A"/>
    <w:rsid w:val="009536EC"/>
    <w:rsid w:val="009540AA"/>
    <w:rsid w:val="00954428"/>
    <w:rsid w:val="00961FDE"/>
    <w:rsid w:val="00964B9B"/>
    <w:rsid w:val="00977C58"/>
    <w:rsid w:val="009800A8"/>
    <w:rsid w:val="009A7A41"/>
    <w:rsid w:val="009B1324"/>
    <w:rsid w:val="00A905AC"/>
    <w:rsid w:val="00A93EB2"/>
    <w:rsid w:val="00AB1F54"/>
    <w:rsid w:val="00AB57F6"/>
    <w:rsid w:val="00AB6737"/>
    <w:rsid w:val="00AD53AF"/>
    <w:rsid w:val="00AD6E00"/>
    <w:rsid w:val="00AE2AB9"/>
    <w:rsid w:val="00AF1EC7"/>
    <w:rsid w:val="00B05D16"/>
    <w:rsid w:val="00B55392"/>
    <w:rsid w:val="00B64AE2"/>
    <w:rsid w:val="00B70CD1"/>
    <w:rsid w:val="00B84848"/>
    <w:rsid w:val="00BA56A9"/>
    <w:rsid w:val="00BB433F"/>
    <w:rsid w:val="00C04337"/>
    <w:rsid w:val="00C05B92"/>
    <w:rsid w:val="00C05E90"/>
    <w:rsid w:val="00C4429A"/>
    <w:rsid w:val="00C53D10"/>
    <w:rsid w:val="00C555BB"/>
    <w:rsid w:val="00C6512F"/>
    <w:rsid w:val="00CB07E2"/>
    <w:rsid w:val="00CB6605"/>
    <w:rsid w:val="00CD4AD1"/>
    <w:rsid w:val="00CF0C4D"/>
    <w:rsid w:val="00CF34CC"/>
    <w:rsid w:val="00D26F24"/>
    <w:rsid w:val="00D34160"/>
    <w:rsid w:val="00D400FC"/>
    <w:rsid w:val="00D60569"/>
    <w:rsid w:val="00D67C50"/>
    <w:rsid w:val="00DA702D"/>
    <w:rsid w:val="00DB6415"/>
    <w:rsid w:val="00DD02D2"/>
    <w:rsid w:val="00DD6AFD"/>
    <w:rsid w:val="00DF0871"/>
    <w:rsid w:val="00E0418E"/>
    <w:rsid w:val="00E07D35"/>
    <w:rsid w:val="00E25971"/>
    <w:rsid w:val="00E2743F"/>
    <w:rsid w:val="00E300BE"/>
    <w:rsid w:val="00E602B0"/>
    <w:rsid w:val="00E84953"/>
    <w:rsid w:val="00E93AF4"/>
    <w:rsid w:val="00E94EFA"/>
    <w:rsid w:val="00EB668E"/>
    <w:rsid w:val="00EC04F8"/>
    <w:rsid w:val="00EE681C"/>
    <w:rsid w:val="00F06F9F"/>
    <w:rsid w:val="00F25471"/>
    <w:rsid w:val="00F357A7"/>
    <w:rsid w:val="00F37D74"/>
    <w:rsid w:val="00F545F5"/>
    <w:rsid w:val="00F87166"/>
    <w:rsid w:val="00F91515"/>
    <w:rsid w:val="00FC4F3E"/>
    <w:rsid w:val="00FC530B"/>
    <w:rsid w:val="00FD6583"/>
    <w:rsid w:val="09CE7477"/>
    <w:rsid w:val="34BA79CA"/>
    <w:rsid w:val="46F00C05"/>
    <w:rsid w:val="4823227C"/>
    <w:rsid w:val="485566E5"/>
    <w:rsid w:val="74BB5FFB"/>
    <w:rsid w:val="76FE0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uiPriority w:val="99"/>
    <w:rPr>
      <w:sz w:val="18"/>
      <w:szCs w:val="18"/>
    </w:rPr>
  </w:style>
  <w:style w:type="character" w:customStyle="1" w:styleId="8">
    <w:name w:val="页脚 字符"/>
    <w:basedOn w:val="6"/>
    <w:link w:val="3"/>
    <w:uiPriority w:val="99"/>
    <w:rPr>
      <w:sz w:val="18"/>
      <w:szCs w:val="18"/>
    </w:rPr>
  </w:style>
  <w:style w:type="paragraph" w:customStyle="1" w:styleId="9">
    <w:name w:val="Revision"/>
    <w:hidden/>
    <w:semiHidden/>
    <w:uiPriority w:val="99"/>
    <w:rPr>
      <w:rFonts w:asciiTheme="minorHAnsi" w:hAnsiTheme="minorHAnsi" w:eastAsiaTheme="minorEastAsia" w:cstheme="minorBidi"/>
      <w:kern w:val="2"/>
      <w:sz w:val="21"/>
      <w:szCs w:val="22"/>
      <w:lang w:val="en-US" w:eastAsia="zh-CN" w:bidi="ar-SA"/>
    </w:rPr>
  </w:style>
  <w:style w:type="paragraph" w:styleId="10">
    <w:name w:val="List Paragraph"/>
    <w:basedOn w:val="1"/>
    <w:uiPriority w:val="99"/>
    <w:pPr>
      <w:ind w:firstLine="420" w:firstLineChars="200"/>
    </w:pPr>
  </w:style>
  <w:style w:type="character" w:customStyle="1" w:styleId="11">
    <w:name w:val="批注框文本 字符"/>
    <w:basedOn w:val="6"/>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Words>
  <Characters>1158</Characters>
  <Lines>9</Lines>
  <Paragraphs>2</Paragraphs>
  <TotalTime>963</TotalTime>
  <ScaleCrop>false</ScaleCrop>
  <LinksUpToDate>false</LinksUpToDate>
  <CharactersWithSpaces>1358</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2023-08-08T07:30:00Z</dcterms:created>
  <dc:creator>Administrator</dc:creator>
  <cp:lastModifiedBy>陈湘鹏</cp:lastModifiedBy>
  <cp:lastPrinted>2024-04-03T06:25:00Z</cp:lastPrinted>
  <dcterms:modified xsi:type="dcterms:W3CDTF">2024-10-08T09:11:06Z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76332C4308BE46FBBD92F1E9193822A4_12</vt:lpwstr>
  </property>
</Properties>
</file>