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520F7">
      <w:pPr>
        <w:spacing w:line="278" w:lineRule="auto"/>
        <w:rPr>
          <w:rFonts w:ascii="Arial"/>
          <w:sz w:val="21"/>
        </w:rPr>
      </w:pPr>
    </w:p>
    <w:p w14:paraId="3BB8457B">
      <w:pPr>
        <w:spacing w:line="278" w:lineRule="auto"/>
        <w:rPr>
          <w:rFonts w:ascii="Arial"/>
          <w:sz w:val="21"/>
        </w:rPr>
      </w:pPr>
    </w:p>
    <w:p w14:paraId="359DEF62">
      <w:pPr>
        <w:spacing w:line="279" w:lineRule="auto"/>
        <w:rPr>
          <w:rFonts w:ascii="Arial"/>
          <w:sz w:val="21"/>
        </w:rPr>
      </w:pPr>
    </w:p>
    <w:p w14:paraId="3E2D0B6B">
      <w:pPr>
        <w:spacing w:line="279" w:lineRule="auto"/>
        <w:rPr>
          <w:rFonts w:ascii="Arial"/>
          <w:sz w:val="21"/>
        </w:rPr>
      </w:pPr>
    </w:p>
    <w:p w14:paraId="7399CEF6">
      <w:pPr>
        <w:widowControl w:val="0"/>
        <w:kinsoku/>
        <w:autoSpaceDE/>
        <w:autoSpaceDN/>
        <w:adjustRightInd/>
        <w:snapToGrid/>
        <w:spacing w:line="560" w:lineRule="exact"/>
        <w:jc w:val="center"/>
        <w:textAlignment w:val="auto"/>
        <w:rPr>
          <w:rFonts w:hint="eastAsia" w:ascii="Times New Roman" w:hAnsi="Times New Roman" w:eastAsia="方正小标宋简体" w:cs="Times New Roman"/>
          <w:snapToGrid/>
          <w:kern w:val="2"/>
          <w:sz w:val="44"/>
          <w:szCs w:val="44"/>
          <w:lang w:eastAsia="zh-CN"/>
        </w:rPr>
      </w:pPr>
      <w:r>
        <w:rPr>
          <w:rFonts w:hint="eastAsia" w:ascii="Times New Roman" w:hAnsi="Times New Roman" w:eastAsia="方正小标宋简体" w:cs="Times New Roman"/>
          <w:snapToGrid/>
          <w:kern w:val="2"/>
          <w:sz w:val="44"/>
          <w:szCs w:val="44"/>
          <w:lang w:eastAsia="zh-CN"/>
        </w:rPr>
        <w:t>广州市花都区2024年度第</w:t>
      </w:r>
      <w:r>
        <w:rPr>
          <w:rFonts w:hint="eastAsia" w:ascii="Times New Roman" w:hAnsi="Times New Roman" w:eastAsia="方正小标宋简体" w:cs="Times New Roman"/>
          <w:snapToGrid/>
          <w:kern w:val="2"/>
          <w:sz w:val="44"/>
          <w:szCs w:val="44"/>
          <w:lang w:val="en-US" w:eastAsia="zh-CN"/>
        </w:rPr>
        <w:t>二十八</w:t>
      </w:r>
      <w:r>
        <w:rPr>
          <w:rFonts w:hint="eastAsia" w:ascii="Times New Roman" w:hAnsi="Times New Roman" w:eastAsia="方正小标宋简体" w:cs="Times New Roman"/>
          <w:snapToGrid/>
          <w:kern w:val="2"/>
          <w:sz w:val="44"/>
          <w:szCs w:val="44"/>
          <w:lang w:eastAsia="zh-CN"/>
        </w:rPr>
        <w:t>批次城镇建设用地（</w:t>
      </w:r>
      <w:r>
        <w:rPr>
          <w:rFonts w:hint="eastAsia" w:ascii="Times New Roman" w:hAnsi="Times New Roman" w:eastAsia="方正小标宋简体" w:cs="Times New Roman"/>
          <w:snapToGrid/>
          <w:kern w:val="2"/>
          <w:sz w:val="44"/>
          <w:szCs w:val="44"/>
          <w:lang w:val="en-US" w:eastAsia="zh-CN"/>
        </w:rPr>
        <w:t>广州市花都华严寺续建建设项目</w:t>
      </w:r>
      <w:r>
        <w:rPr>
          <w:rFonts w:hint="eastAsia" w:ascii="Times New Roman" w:hAnsi="Times New Roman" w:eastAsia="方正小标宋简体" w:cs="Times New Roman"/>
          <w:snapToGrid/>
          <w:kern w:val="2"/>
          <w:sz w:val="44"/>
          <w:szCs w:val="44"/>
          <w:lang w:eastAsia="zh-CN"/>
        </w:rPr>
        <w:t>）</w:t>
      </w:r>
    </w:p>
    <w:p w14:paraId="4F8D38E9">
      <w:pPr>
        <w:widowControl w:val="0"/>
        <w:kinsoku/>
        <w:autoSpaceDE/>
        <w:autoSpaceDN/>
        <w:adjustRightInd/>
        <w:snapToGrid/>
        <w:spacing w:line="560" w:lineRule="exact"/>
        <w:jc w:val="center"/>
        <w:textAlignment w:val="auto"/>
        <w:rPr>
          <w:rFonts w:hint="eastAsia" w:ascii="Times New Roman" w:hAnsi="Times New Roman" w:eastAsia="方正小标宋简体" w:cs="Times New Roman"/>
          <w:snapToGrid/>
          <w:kern w:val="2"/>
          <w:sz w:val="44"/>
          <w:szCs w:val="44"/>
          <w:lang w:eastAsia="zh-CN"/>
        </w:rPr>
      </w:pPr>
      <w:r>
        <w:rPr>
          <w:rFonts w:hint="eastAsia" w:ascii="Times New Roman" w:hAnsi="Times New Roman" w:eastAsia="方正小标宋简体" w:cs="Times New Roman"/>
          <w:snapToGrid/>
          <w:kern w:val="2"/>
          <w:sz w:val="44"/>
          <w:szCs w:val="44"/>
          <w:lang w:eastAsia="zh-CN"/>
        </w:rPr>
        <w:t>项目被征地农民养老保障方案</w:t>
      </w:r>
    </w:p>
    <w:p w14:paraId="760AD7FC">
      <w:pPr>
        <w:spacing w:line="384" w:lineRule="auto"/>
        <w:rPr>
          <w:rFonts w:ascii="Arial"/>
          <w:sz w:val="21"/>
        </w:rPr>
      </w:pPr>
    </w:p>
    <w:p w14:paraId="01FAE771">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依照《中华人民共和国土地管理法》《关于切实做好被征地农民社会保障工作有关问题的通知》(劳社部发〔2007〕14号)</w:t>
      </w:r>
      <w:r>
        <w:rPr>
          <w:rFonts w:hint="eastAsia" w:ascii="Times New Roman" w:hAnsi="Times New Roman" w:eastAsia="仿宋_GB2312" w:cs="Times New Roman"/>
          <w:snapToGrid/>
          <w:kern w:val="2"/>
          <w:sz w:val="32"/>
          <w:szCs w:val="32"/>
          <w:lang w:val="en-US" w:eastAsia="zh-CN"/>
        </w:rPr>
        <w:t xml:space="preserve">    《  </w:t>
      </w:r>
      <w:r>
        <w:rPr>
          <w:rFonts w:ascii="Times New Roman" w:hAnsi="Times New Roman" w:eastAsia="仿宋_GB2312" w:cs="Times New Roman"/>
          <w:snapToGrid/>
          <w:kern w:val="2"/>
          <w:sz w:val="32"/>
          <w:szCs w:val="32"/>
          <w:lang w:eastAsia="zh-CN"/>
        </w:rPr>
        <w:t>广东省人民政府办公厅转发省人力资源社会保障厅关于进一步完善我省被征地农民养老保障政策意见的通知》</w:t>
      </w:r>
      <w:r>
        <w:rPr>
          <w:rFonts w:hint="eastAsia"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粤府办〔2021〕22号</w:t>
      </w:r>
      <w:r>
        <w:rPr>
          <w:rFonts w:hint="eastAsia"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和</w:t>
      </w:r>
      <w:r>
        <w:rPr>
          <w:rFonts w:hint="eastAsia" w:ascii="Times New Roman" w:hAnsi="Times New Roman" w:eastAsia="仿宋_GB2312" w:cs="Times New Roman"/>
          <w:snapToGrid/>
          <w:kern w:val="2"/>
          <w:sz w:val="32"/>
          <w:szCs w:val="32"/>
          <w:lang w:eastAsia="zh-CN"/>
        </w:rPr>
        <w:t>《</w:t>
      </w:r>
      <w:r>
        <w:rPr>
          <w:rFonts w:hint="eastAsia" w:ascii="Times New Roman" w:hAnsi="Times New Roman" w:eastAsia="仿宋_GB2312" w:cs="Times New Roman"/>
          <w:snapToGrid/>
          <w:kern w:val="2"/>
          <w:sz w:val="32"/>
          <w:szCs w:val="32"/>
          <w:lang w:val="en-US" w:eastAsia="zh-CN"/>
        </w:rPr>
        <w:t xml:space="preserve"> </w:t>
      </w:r>
      <w:r>
        <w:rPr>
          <w:rFonts w:ascii="Times New Roman" w:hAnsi="Times New Roman" w:eastAsia="仿宋_GB2312" w:cs="Times New Roman"/>
          <w:snapToGrid/>
          <w:kern w:val="2"/>
          <w:sz w:val="32"/>
          <w:szCs w:val="32"/>
          <w:lang w:eastAsia="zh-CN"/>
        </w:rPr>
        <w:t>广州市人民政府办公厅转发关于进一步完善我省被征地农民养老保障政策意见的通知》(穗府办规</w:t>
      </w:r>
      <w:r>
        <w:rPr>
          <w:rFonts w:hint="default"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2022</w:t>
      </w:r>
      <w:r>
        <w:rPr>
          <w:rFonts w:hint="default"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3号</w:t>
      </w:r>
      <w:r>
        <w:rPr>
          <w:rFonts w:hint="eastAsia" w:ascii="Times New Roman" w:hAnsi="Times New Roman" w:eastAsia="仿宋_GB2312" w:cs="Times New Roman"/>
          <w:snapToGrid/>
          <w:kern w:val="2"/>
          <w:sz w:val="32"/>
          <w:szCs w:val="32"/>
          <w:lang w:eastAsia="zh-CN"/>
        </w:rPr>
        <w:t>）</w:t>
      </w:r>
      <w:r>
        <w:rPr>
          <w:rFonts w:hint="eastAsia" w:ascii="Times New Roman" w:hAnsi="Times New Roman" w:eastAsia="仿宋_GB2312" w:cs="Times New Roman"/>
          <w:snapToGrid/>
          <w:kern w:val="2"/>
          <w:sz w:val="32"/>
          <w:szCs w:val="32"/>
          <w:lang w:val="en-US" w:eastAsia="zh-CN"/>
        </w:rPr>
        <w:t xml:space="preserve"> </w:t>
      </w:r>
      <w:r>
        <w:rPr>
          <w:rFonts w:ascii="Times New Roman" w:hAnsi="Times New Roman" w:eastAsia="仿宋_GB2312" w:cs="Times New Roman"/>
          <w:snapToGrid/>
          <w:kern w:val="2"/>
          <w:sz w:val="32"/>
          <w:szCs w:val="32"/>
          <w:lang w:eastAsia="zh-CN"/>
        </w:rPr>
        <w:t>等有关规定，拟定广州市花都区2024年度第</w:t>
      </w:r>
      <w:r>
        <w:rPr>
          <w:rFonts w:hint="eastAsia" w:ascii="Times New Roman" w:hAnsi="Times New Roman" w:eastAsia="仿宋_GB2312" w:cs="Times New Roman"/>
          <w:snapToGrid/>
          <w:kern w:val="2"/>
          <w:sz w:val="32"/>
          <w:szCs w:val="32"/>
          <w:lang w:val="en-US" w:eastAsia="zh-CN"/>
        </w:rPr>
        <w:t>二十八</w:t>
      </w:r>
      <w:r>
        <w:rPr>
          <w:rFonts w:ascii="Times New Roman" w:hAnsi="Times New Roman" w:eastAsia="仿宋_GB2312" w:cs="Times New Roman"/>
          <w:snapToGrid/>
          <w:kern w:val="2"/>
          <w:sz w:val="32"/>
          <w:szCs w:val="32"/>
          <w:lang w:eastAsia="zh-CN"/>
        </w:rPr>
        <w:t>批次城镇建设用地</w:t>
      </w:r>
      <w:r>
        <w:rPr>
          <w:rFonts w:hint="eastAsia"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广州市花都</w:t>
      </w:r>
      <w:r>
        <w:rPr>
          <w:rFonts w:hint="eastAsia" w:ascii="Times New Roman" w:hAnsi="Times New Roman" w:eastAsia="仿宋_GB2312" w:cs="Times New Roman"/>
          <w:snapToGrid/>
          <w:kern w:val="2"/>
          <w:sz w:val="32"/>
          <w:szCs w:val="32"/>
          <w:lang w:val="en-US" w:eastAsia="zh-CN"/>
        </w:rPr>
        <w:t>华严寺续建建设项目</w:t>
      </w:r>
      <w:r>
        <w:rPr>
          <w:rFonts w:hint="eastAsia"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被征地农民养老保障方案如下：</w:t>
      </w:r>
    </w:p>
    <w:p w14:paraId="2BDA5FD9">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一、对广州市花都区2024年度第</w:t>
      </w:r>
      <w:r>
        <w:rPr>
          <w:rFonts w:hint="eastAsia" w:ascii="Times New Roman" w:hAnsi="Times New Roman" w:eastAsia="仿宋_GB2312" w:cs="Times New Roman"/>
          <w:snapToGrid/>
          <w:kern w:val="2"/>
          <w:sz w:val="32"/>
          <w:szCs w:val="32"/>
          <w:lang w:val="en-US" w:eastAsia="zh-CN"/>
        </w:rPr>
        <w:t>二十八</w:t>
      </w:r>
      <w:r>
        <w:rPr>
          <w:rFonts w:ascii="Times New Roman" w:hAnsi="Times New Roman" w:eastAsia="仿宋_GB2312" w:cs="Times New Roman"/>
          <w:snapToGrid/>
          <w:kern w:val="2"/>
          <w:sz w:val="32"/>
          <w:szCs w:val="32"/>
          <w:lang w:eastAsia="zh-CN"/>
        </w:rPr>
        <w:t>批次城镇建设用地</w:t>
      </w:r>
      <w:r>
        <w:rPr>
          <w:rFonts w:hint="eastAsia"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广州市花都</w:t>
      </w:r>
      <w:r>
        <w:rPr>
          <w:rFonts w:hint="eastAsia" w:ascii="Times New Roman" w:hAnsi="Times New Roman" w:eastAsia="仿宋_GB2312" w:cs="Times New Roman"/>
          <w:snapToGrid/>
          <w:kern w:val="2"/>
          <w:sz w:val="32"/>
          <w:szCs w:val="32"/>
          <w:lang w:val="en-US" w:eastAsia="zh-CN"/>
        </w:rPr>
        <w:t>华严寺续建建设项目</w:t>
      </w:r>
      <w:r>
        <w:rPr>
          <w:rFonts w:hint="eastAsia"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项目涉及的被征地农民实施社会养老保障。</w:t>
      </w:r>
    </w:p>
    <w:p w14:paraId="6322F851">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sectPr>
          <w:pgSz w:w="11910" w:h="16850"/>
          <w:pgMar w:top="1229" w:right="1334" w:bottom="1849" w:left="1525" w:header="0" w:footer="1789" w:gutter="0"/>
          <w:cols w:space="720" w:num="1"/>
        </w:sectPr>
      </w:pPr>
      <w:r>
        <w:rPr>
          <w:rFonts w:ascii="Times New Roman" w:hAnsi="Times New Roman" w:eastAsia="仿宋_GB2312" w:cs="Times New Roman"/>
          <w:snapToGrid/>
          <w:kern w:val="2"/>
          <w:sz w:val="32"/>
          <w:szCs w:val="32"/>
          <w:lang w:eastAsia="zh-CN"/>
        </w:rPr>
        <w:t>二、征地社保费筹集。依据市规划和自然资源局花都区分局提供情况，该项目征收我区</w:t>
      </w:r>
      <w:r>
        <w:rPr>
          <w:rFonts w:hint="eastAsia" w:ascii="Times New Roman" w:hAnsi="Times New Roman" w:eastAsia="仿宋_GB2312" w:cs="Times New Roman"/>
          <w:snapToGrid/>
          <w:kern w:val="2"/>
          <w:sz w:val="32"/>
          <w:szCs w:val="32"/>
          <w:lang w:val="en-US" w:eastAsia="zh-CN"/>
        </w:rPr>
        <w:t>花山镇和郁村，狮岭镇新民村</w:t>
      </w:r>
      <w:r>
        <w:rPr>
          <w:rFonts w:ascii="Times New Roman" w:hAnsi="Times New Roman" w:eastAsia="仿宋_GB2312" w:cs="Times New Roman"/>
          <w:snapToGrid/>
          <w:kern w:val="2"/>
          <w:sz w:val="32"/>
          <w:szCs w:val="32"/>
          <w:lang w:eastAsia="zh-CN"/>
        </w:rPr>
        <w:t>土地面积共</w:t>
      </w:r>
      <w:r>
        <w:rPr>
          <w:rFonts w:hint="eastAsia" w:ascii="Times New Roman" w:hAnsi="Times New Roman" w:eastAsia="仿宋_GB2312" w:cs="Times New Roman"/>
          <w:snapToGrid/>
          <w:kern w:val="2"/>
          <w:sz w:val="32"/>
          <w:szCs w:val="32"/>
          <w:lang w:val="en-US" w:eastAsia="zh-CN"/>
        </w:rPr>
        <w:t>27.7005</w:t>
      </w:r>
      <w:r>
        <w:rPr>
          <w:rFonts w:ascii="Times New Roman" w:hAnsi="Times New Roman" w:eastAsia="仿宋_GB2312" w:cs="Times New Roman"/>
          <w:snapToGrid/>
          <w:kern w:val="2"/>
          <w:sz w:val="32"/>
          <w:szCs w:val="32"/>
          <w:lang w:eastAsia="zh-CN"/>
        </w:rPr>
        <w:t>亩，其中0亩属于农村集体经济组织留用地，征地双方目前尚未签订征地补偿安置协议。</w:t>
      </w:r>
      <w:r>
        <w:rPr>
          <w:rFonts w:hint="eastAsia" w:ascii="Times New Roman" w:hAnsi="Times New Roman" w:eastAsia="仿宋_GB2312" w:cs="Times New Roman"/>
          <w:snapToGrid/>
          <w:kern w:val="2"/>
          <w:sz w:val="32"/>
          <w:szCs w:val="32"/>
          <w:lang w:val="en-US" w:eastAsia="zh-CN"/>
        </w:rPr>
        <w:t xml:space="preserve"> </w:t>
      </w:r>
      <w:r>
        <w:rPr>
          <w:rFonts w:ascii="Times New Roman" w:hAnsi="Times New Roman" w:eastAsia="仿宋_GB2312" w:cs="Times New Roman"/>
          <w:snapToGrid/>
          <w:kern w:val="2"/>
          <w:sz w:val="32"/>
          <w:szCs w:val="32"/>
          <w:lang w:eastAsia="zh-CN"/>
        </w:rPr>
        <w:t>该项目征地社保费应按</w:t>
      </w:r>
    </w:p>
    <w:p w14:paraId="3BAA4713">
      <w:pPr>
        <w:widowControl w:val="0"/>
        <w:kinsoku/>
        <w:autoSpaceDE/>
        <w:autoSpaceDN/>
        <w:adjustRightInd/>
        <w:snapToGrid/>
        <w:spacing w:line="560" w:lineRule="exact"/>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2.14万元/亩的标准计提</w:t>
      </w:r>
      <w:r>
        <w:rPr>
          <w:rFonts w:hint="eastAsia"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即征地补偿安置方案制定时，花都区平均每亩征收农用地区片综合地价13.33万元/亩的16%</w:t>
      </w:r>
      <w:r>
        <w:rPr>
          <w:rFonts w:hint="eastAsia"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需计提资金</w:t>
      </w:r>
      <w:r>
        <w:rPr>
          <w:rFonts w:hint="eastAsia" w:ascii="Times New Roman" w:hAnsi="Times New Roman" w:eastAsia="仿宋_GB2312" w:cs="Times New Roman"/>
          <w:snapToGrid/>
          <w:kern w:val="2"/>
          <w:sz w:val="32"/>
          <w:szCs w:val="32"/>
          <w:lang w:val="en-US" w:eastAsia="zh-CN"/>
        </w:rPr>
        <w:t>59.30</w:t>
      </w:r>
      <w:r>
        <w:rPr>
          <w:rFonts w:ascii="Times New Roman" w:hAnsi="Times New Roman" w:eastAsia="仿宋_GB2312" w:cs="Times New Roman"/>
          <w:snapToGrid/>
          <w:kern w:val="2"/>
          <w:sz w:val="32"/>
          <w:szCs w:val="32"/>
          <w:lang w:eastAsia="zh-CN"/>
        </w:rPr>
        <w:t>万元由征地主体</w:t>
      </w:r>
      <w:r>
        <w:rPr>
          <w:rFonts w:hint="eastAsia"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用地单位</w:t>
      </w:r>
      <w:r>
        <w:rPr>
          <w:rFonts w:hint="eastAsia"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一次性预存入花都区社会保险基金管理办公室“收缴被征地农民养老保障资金过渡户”(中国建设银行广州市绿色金融改革创新试验区花都分行，44050155150100002584)</w:t>
      </w:r>
      <w:r>
        <w:rPr>
          <w:rFonts w:hint="eastAsia" w:ascii="Times New Roman" w:hAnsi="Times New Roman" w:eastAsia="仿宋_GB2312" w:cs="Times New Roman"/>
          <w:snapToGrid/>
          <w:kern w:val="2"/>
          <w:sz w:val="32"/>
          <w:szCs w:val="32"/>
          <w:lang w:eastAsia="zh-CN"/>
        </w:rPr>
        <w:t>。</w:t>
      </w:r>
    </w:p>
    <w:p w14:paraId="53012A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三、征地社保费补贴对象。按</w:t>
      </w:r>
      <w:r>
        <w:rPr>
          <w:rFonts w:hint="eastAsia"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筹集资金分配到户</w:t>
      </w:r>
      <w:r>
        <w:rPr>
          <w:rFonts w:hint="eastAsia"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w:t>
      </w:r>
      <w:r>
        <w:rPr>
          <w:rFonts w:hint="eastAsia"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如实行土地股份制经济或者集体统一经营土地等情况</w:t>
      </w:r>
      <w:r>
        <w:rPr>
          <w:rFonts w:hint="eastAsia"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可从其规定。</w:t>
      </w:r>
    </w:p>
    <w:p w14:paraId="1259346C">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sectPr>
          <w:footerReference r:id="rId5" w:type="default"/>
          <w:pgSz w:w="11910" w:h="16850"/>
          <w:pgMar w:top="1432" w:right="1509" w:bottom="1764" w:left="1529" w:header="0" w:footer="1447" w:gutter="0"/>
          <w:cols w:space="720" w:num="1"/>
        </w:sectPr>
      </w:pPr>
      <w:r>
        <w:rPr>
          <w:rFonts w:ascii="Times New Roman" w:hAnsi="Times New Roman" w:eastAsia="仿宋_GB2312" w:cs="Times New Roman"/>
          <w:snapToGrid/>
          <w:kern w:val="2"/>
          <w:sz w:val="32"/>
          <w:szCs w:val="32"/>
          <w:lang w:eastAsia="zh-CN"/>
        </w:rPr>
        <w:t>四、征地社保费发放。一是征地社保费与征地安置补偿费同期拨付。征地实施部门在拟发放征地安置补助费时，应告知同级人力资源社会保障部门和征地项目所在乡镇人民政府(街道办事处)。乡镇人民政府</w:t>
      </w:r>
      <w:r>
        <w:rPr>
          <w:rFonts w:hint="eastAsia"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街道办事处</w:t>
      </w:r>
      <w:r>
        <w:rPr>
          <w:rFonts w:hint="eastAsia"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牵头组织被征地农户在15个工作日内按时提供具体参保人员名单和分配金额。被征地农户未按时提供的，由乡镇人民政府</w:t>
      </w:r>
      <w:r>
        <w:rPr>
          <w:rFonts w:hint="eastAsia"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街道办事处</w:t>
      </w:r>
      <w:r>
        <w:rPr>
          <w:rFonts w:hint="eastAsia"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按被征地农户的16周岁以上人口平均分配资金原则确定参保人员名单和分配金额，送所属人力资源社会保障部门办理社保手续。二是符合条件的被征地农民按规定享受征地社保补贴，一次性划入</w:t>
      </w:r>
    </w:p>
    <w:p w14:paraId="035D183E">
      <w:pPr>
        <w:widowControl w:val="0"/>
        <w:kinsoku/>
        <w:autoSpaceDE/>
        <w:autoSpaceDN/>
        <w:adjustRightInd/>
        <w:snapToGrid/>
        <w:spacing w:line="560" w:lineRule="exact"/>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其城乡居民养老保险个人账户，不计算实际缴费年限；其中已领取城镇职工基本养老金的，一次性支付个人。</w:t>
      </w:r>
    </w:p>
    <w:p w14:paraId="03512190">
      <w:pPr>
        <w:spacing w:line="269" w:lineRule="auto"/>
        <w:rPr>
          <w:rFonts w:ascii="Arial"/>
          <w:sz w:val="21"/>
        </w:rPr>
      </w:pPr>
    </w:p>
    <w:p w14:paraId="43DBF05E">
      <w:pPr>
        <w:spacing w:line="269" w:lineRule="auto"/>
        <w:rPr>
          <w:rFonts w:ascii="Arial"/>
          <w:sz w:val="21"/>
        </w:rPr>
      </w:pPr>
    </w:p>
    <w:p w14:paraId="5CAE1B0F">
      <w:pPr>
        <w:pStyle w:val="2"/>
        <w:spacing w:before="104" w:line="221" w:lineRule="auto"/>
        <w:ind w:left="660"/>
        <w:rPr>
          <w:rFonts w:ascii="Times New Roman" w:hAnsi="Times New Roman" w:eastAsia="仿宋_GB2312" w:cs="Times New Roman"/>
          <w:snapToGrid/>
          <w:color w:val="000000"/>
          <w:kern w:val="2"/>
          <w:sz w:val="32"/>
          <w:szCs w:val="32"/>
          <w:lang w:val="en-US" w:eastAsia="zh-CN" w:bidi="ar-SA"/>
        </w:rPr>
      </w:pPr>
      <w:r>
        <w:rPr>
          <w:rFonts w:ascii="Times New Roman" w:hAnsi="Times New Roman" w:eastAsia="仿宋_GB2312" w:cs="Times New Roman"/>
          <w:snapToGrid/>
          <w:color w:val="000000"/>
          <w:kern w:val="2"/>
          <w:sz w:val="32"/>
          <w:szCs w:val="32"/>
          <w:lang w:val="en-US" w:eastAsia="zh-CN" w:bidi="ar-SA"/>
        </w:rPr>
        <w:t>附件：征地土地及养老保障情况表</w:t>
      </w:r>
    </w:p>
    <w:p w14:paraId="246EB072">
      <w:pPr>
        <w:spacing w:line="248" w:lineRule="auto"/>
        <w:rPr>
          <w:rFonts w:ascii="Arial"/>
          <w:sz w:val="21"/>
        </w:rPr>
      </w:pPr>
    </w:p>
    <w:p w14:paraId="75B7C220">
      <w:pPr>
        <w:spacing w:line="248" w:lineRule="auto"/>
        <w:rPr>
          <w:rFonts w:ascii="Arial"/>
          <w:sz w:val="21"/>
        </w:rPr>
      </w:pPr>
    </w:p>
    <w:p w14:paraId="4861CDCF">
      <w:pPr>
        <w:spacing w:line="249" w:lineRule="auto"/>
        <w:rPr>
          <w:rFonts w:ascii="Arial"/>
          <w:sz w:val="21"/>
        </w:rPr>
      </w:pPr>
    </w:p>
    <w:p w14:paraId="2716D3B0">
      <w:pPr>
        <w:spacing w:line="249" w:lineRule="auto"/>
        <w:rPr>
          <w:rFonts w:ascii="Arial"/>
          <w:sz w:val="21"/>
        </w:rPr>
      </w:pPr>
    </w:p>
    <w:p w14:paraId="370820D0">
      <w:pPr>
        <w:spacing w:line="249" w:lineRule="auto"/>
        <w:rPr>
          <w:rFonts w:ascii="Arial"/>
          <w:sz w:val="21"/>
        </w:rPr>
      </w:pPr>
    </w:p>
    <w:p w14:paraId="46791A10">
      <w:pPr>
        <w:spacing w:line="249" w:lineRule="auto"/>
        <w:rPr>
          <w:rFonts w:ascii="Arial"/>
          <w:sz w:val="21"/>
        </w:rPr>
      </w:pPr>
    </w:p>
    <w:p w14:paraId="444A1AF8">
      <w:pPr>
        <w:spacing w:line="249" w:lineRule="auto"/>
        <w:rPr>
          <w:rFonts w:ascii="Arial"/>
          <w:sz w:val="21"/>
        </w:rPr>
      </w:pPr>
    </w:p>
    <w:p w14:paraId="63CB3787">
      <w:pPr>
        <w:pStyle w:val="2"/>
        <w:spacing w:before="104" w:line="220" w:lineRule="auto"/>
        <w:ind w:left="3459"/>
        <w:rPr>
          <w:sz w:val="32"/>
          <w:szCs w:val="32"/>
        </w:rPr>
      </w:pPr>
      <w:r>
        <w:rPr>
          <w:spacing w:val="-2"/>
          <w:sz w:val="32"/>
          <w:szCs w:val="32"/>
        </w:rPr>
        <w:t>广州市花都区人力资源和社会保障局</w:t>
      </w:r>
    </w:p>
    <w:p w14:paraId="2EE08999">
      <w:pPr>
        <w:spacing w:before="131" w:line="420" w:lineRule="exact"/>
        <w:ind w:firstLine="4739"/>
      </w:pPr>
      <w:r>
        <w:rPr>
          <w:rFonts w:ascii="Times New Roman" w:hAnsi="Times New Roman" w:eastAsia="仿宋_GB2312" w:cs="Times New Roman"/>
          <w:sz w:val="32"/>
          <w:szCs w:val="32"/>
        </w:rPr>
        <w:t>2024年</w:t>
      </w:r>
      <w:r>
        <w:rPr>
          <w:rFonts w:hint="eastAsia" w:ascii="Times New Roman" w:hAnsi="Times New Roman" w:eastAsia="仿宋_GB2312" w:cs="Times New Roman"/>
          <w:sz w:val="32"/>
          <w:szCs w:val="32"/>
          <w:lang w:val="en-US" w:eastAsia="zh-CN"/>
        </w:rPr>
        <w:t xml:space="preserve"> 10</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15 </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p w14:paraId="3BB83F48">
      <w:pPr>
        <w:spacing w:line="420" w:lineRule="exact"/>
        <w:sectPr>
          <w:footerReference r:id="rId6" w:type="default"/>
          <w:pgSz w:w="11910" w:h="16850"/>
          <w:pgMar w:top="1432" w:right="1479" w:bottom="1744" w:left="1630" w:header="0" w:footer="1427" w:gutter="0"/>
          <w:cols w:space="720" w:num="1"/>
        </w:sectPr>
      </w:pPr>
    </w:p>
    <w:p w14:paraId="08D146BE">
      <w:pPr>
        <w:spacing w:line="261" w:lineRule="auto"/>
        <w:rPr>
          <w:rFonts w:ascii="Arial"/>
          <w:sz w:val="21"/>
        </w:rPr>
      </w:pPr>
      <w:bookmarkStart w:id="0" w:name="_GoBack"/>
      <w:bookmarkEnd w:id="0"/>
    </w:p>
    <w:p w14:paraId="0F0DF438">
      <w:pPr>
        <w:spacing w:line="261" w:lineRule="auto"/>
        <w:rPr>
          <w:rFonts w:ascii="Arial"/>
          <w:sz w:val="21"/>
        </w:rPr>
      </w:pPr>
    </w:p>
    <w:p w14:paraId="5269A9E8">
      <w:pPr>
        <w:spacing w:line="261" w:lineRule="auto"/>
        <w:rPr>
          <w:rFonts w:ascii="Arial"/>
          <w:sz w:val="21"/>
        </w:rPr>
      </w:pPr>
    </w:p>
    <w:p w14:paraId="7C865895">
      <w:pPr>
        <w:spacing w:line="262" w:lineRule="auto"/>
        <w:rPr>
          <w:rFonts w:ascii="Arial"/>
          <w:sz w:val="21"/>
        </w:rPr>
      </w:pPr>
    </w:p>
    <w:p w14:paraId="2BBC20FD">
      <w:pPr>
        <w:spacing w:line="249" w:lineRule="auto"/>
        <w:rPr>
          <w:rFonts w:ascii="Arial"/>
          <w:sz w:val="21"/>
        </w:rPr>
      </w:pPr>
    </w:p>
    <w:p w14:paraId="67B68183">
      <w:pPr>
        <w:spacing w:before="97" w:line="224" w:lineRule="auto"/>
        <w:ind w:left="74"/>
        <w:rPr>
          <w:rFonts w:ascii="黑体" w:hAnsi="黑体" w:eastAsia="黑体" w:cs="黑体"/>
          <w:sz w:val="30"/>
          <w:szCs w:val="30"/>
        </w:rPr>
      </w:pPr>
      <w:r>
        <w:rPr>
          <w:rFonts w:ascii="黑体" w:hAnsi="黑体" w:eastAsia="黑体" w:cs="黑体"/>
          <w:b/>
          <w:bCs/>
          <w:spacing w:val="14"/>
          <w:sz w:val="30"/>
          <w:szCs w:val="30"/>
        </w:rPr>
        <w:t>附件</w:t>
      </w:r>
    </w:p>
    <w:p w14:paraId="26009595">
      <w:pPr>
        <w:spacing w:before="188" w:line="221" w:lineRule="auto"/>
        <w:ind w:left="1736"/>
        <w:rPr>
          <w:rFonts w:ascii="仿宋" w:hAnsi="仿宋" w:eastAsia="仿宋" w:cs="仿宋"/>
          <w:sz w:val="43"/>
          <w:szCs w:val="43"/>
        </w:rPr>
      </w:pPr>
      <w:r>
        <w:rPr>
          <w:rFonts w:ascii="仿宋" w:hAnsi="仿宋" w:eastAsia="仿宋" w:cs="仿宋"/>
          <w:b/>
          <w:bCs/>
          <w:spacing w:val="4"/>
          <w:sz w:val="43"/>
          <w:szCs w:val="43"/>
        </w:rPr>
        <w:t>征收土地及养老保障情况表</w:t>
      </w:r>
    </w:p>
    <w:p w14:paraId="15A1927D">
      <w:pPr>
        <w:spacing w:before="241" w:line="220" w:lineRule="auto"/>
        <w:ind w:left="6439"/>
        <w:rPr>
          <w:rFonts w:ascii="宋体" w:hAnsi="宋体" w:eastAsia="宋体" w:cs="宋体"/>
          <w:sz w:val="24"/>
          <w:szCs w:val="24"/>
        </w:rPr>
      </w:pPr>
      <w:r>
        <w:rPr>
          <w:rFonts w:ascii="宋体" w:hAnsi="宋体" w:eastAsia="宋体" w:cs="宋体"/>
          <w:spacing w:val="1"/>
          <w:sz w:val="24"/>
          <w:szCs w:val="24"/>
        </w:rPr>
        <w:t>单位：亩、万元</w:t>
      </w:r>
    </w:p>
    <w:p w14:paraId="7C2770AB">
      <w:pPr>
        <w:spacing w:line="38" w:lineRule="exact"/>
      </w:pPr>
    </w:p>
    <w:tbl>
      <w:tblPr>
        <w:tblStyle w:val="6"/>
        <w:tblW w:w="8829" w:type="dxa"/>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2896"/>
        <w:gridCol w:w="1568"/>
        <w:gridCol w:w="1868"/>
        <w:gridCol w:w="1573"/>
      </w:tblGrid>
      <w:tr w14:paraId="6DBD5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3820" w:type="dxa"/>
            <w:gridSpan w:val="2"/>
            <w:vAlign w:val="top"/>
          </w:tcPr>
          <w:p w14:paraId="2FE3AF03">
            <w:pPr>
              <w:spacing w:line="334" w:lineRule="auto"/>
              <w:rPr>
                <w:rFonts w:ascii="Arial"/>
                <w:sz w:val="21"/>
              </w:rPr>
            </w:pPr>
          </w:p>
          <w:p w14:paraId="5AEB4401">
            <w:pPr>
              <w:pStyle w:val="7"/>
              <w:spacing w:before="78" w:line="219" w:lineRule="auto"/>
              <w:ind w:left="1304"/>
            </w:pPr>
            <w:r>
              <w:rPr>
                <w:spacing w:val="-2"/>
              </w:rPr>
              <w:t>被征地单位</w:t>
            </w:r>
          </w:p>
        </w:tc>
        <w:tc>
          <w:tcPr>
            <w:tcW w:w="1568" w:type="dxa"/>
            <w:vAlign w:val="top"/>
          </w:tcPr>
          <w:p w14:paraId="2D335C6B">
            <w:pPr>
              <w:pStyle w:val="7"/>
              <w:spacing w:before="254" w:line="234" w:lineRule="auto"/>
              <w:ind w:left="534" w:right="293" w:hanging="239"/>
            </w:pPr>
            <w:r>
              <w:rPr>
                <w:spacing w:val="2"/>
              </w:rPr>
              <w:t>征收土地</w:t>
            </w:r>
            <w:r>
              <w:t xml:space="preserve"> </w:t>
            </w:r>
            <w:r>
              <w:rPr>
                <w:spacing w:val="7"/>
              </w:rPr>
              <w:t>面积</w:t>
            </w:r>
          </w:p>
        </w:tc>
        <w:tc>
          <w:tcPr>
            <w:tcW w:w="1868" w:type="dxa"/>
            <w:vAlign w:val="top"/>
          </w:tcPr>
          <w:p w14:paraId="58F245A6">
            <w:pPr>
              <w:pStyle w:val="7"/>
              <w:spacing w:before="253" w:line="230" w:lineRule="auto"/>
              <w:ind w:left="87" w:right="75"/>
            </w:pPr>
            <w:r>
              <w:rPr>
                <w:spacing w:val="-2"/>
              </w:rPr>
              <w:t>其中属于被征地</w:t>
            </w:r>
            <w:r>
              <w:rPr>
                <w:spacing w:val="2"/>
              </w:rPr>
              <w:t xml:space="preserve"> 单位留用地面积</w:t>
            </w:r>
          </w:p>
        </w:tc>
        <w:tc>
          <w:tcPr>
            <w:tcW w:w="1573" w:type="dxa"/>
            <w:vAlign w:val="top"/>
          </w:tcPr>
          <w:p w14:paraId="50758F30">
            <w:pPr>
              <w:pStyle w:val="7"/>
              <w:spacing w:before="251" w:line="219" w:lineRule="auto"/>
              <w:ind w:left="182"/>
              <w:rPr>
                <w:b w:val="0"/>
                <w:bCs w:val="0"/>
              </w:rPr>
            </w:pPr>
            <w:r>
              <w:rPr>
                <w:b w:val="0"/>
                <w:bCs w:val="0"/>
                <w:spacing w:val="-3"/>
              </w:rPr>
              <w:t>需计提征地</w:t>
            </w:r>
          </w:p>
          <w:p w14:paraId="1A750874">
            <w:pPr>
              <w:pStyle w:val="7"/>
              <w:spacing w:before="18" w:line="219" w:lineRule="auto"/>
              <w:ind w:left="419"/>
            </w:pPr>
            <w:r>
              <w:rPr>
                <w:spacing w:val="4"/>
              </w:rPr>
              <w:t>社保费</w:t>
            </w:r>
          </w:p>
        </w:tc>
      </w:tr>
      <w:tr w14:paraId="78383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924" w:type="dxa"/>
            <w:vMerge w:val="restart"/>
            <w:tcBorders>
              <w:bottom w:val="nil"/>
            </w:tcBorders>
            <w:vAlign w:val="top"/>
          </w:tcPr>
          <w:p w14:paraId="2CFB3C6D">
            <w:pPr>
              <w:spacing w:line="285" w:lineRule="auto"/>
              <w:rPr>
                <w:rFonts w:ascii="Arial"/>
                <w:sz w:val="21"/>
              </w:rPr>
            </w:pPr>
          </w:p>
          <w:p w14:paraId="51AAC277">
            <w:pPr>
              <w:spacing w:line="286" w:lineRule="auto"/>
              <w:rPr>
                <w:rFonts w:ascii="Arial"/>
                <w:sz w:val="21"/>
              </w:rPr>
            </w:pPr>
          </w:p>
          <w:p w14:paraId="48761F9A">
            <w:pPr>
              <w:pStyle w:val="7"/>
              <w:spacing w:before="78" w:line="219" w:lineRule="auto"/>
              <w:ind w:left="95"/>
            </w:pPr>
            <w:r>
              <w:rPr>
                <w:spacing w:val="-3"/>
              </w:rPr>
              <w:t>花山镇</w:t>
            </w:r>
          </w:p>
        </w:tc>
        <w:tc>
          <w:tcPr>
            <w:tcW w:w="2896" w:type="dxa"/>
            <w:vAlign w:val="top"/>
          </w:tcPr>
          <w:p w14:paraId="370C3645">
            <w:pPr>
              <w:pStyle w:val="7"/>
              <w:spacing w:before="261" w:line="219" w:lineRule="auto"/>
              <w:ind w:left="481"/>
            </w:pPr>
            <w:r>
              <w:rPr>
                <w:spacing w:val="1"/>
              </w:rPr>
              <w:t>和郁村经济联合社</w:t>
            </w:r>
          </w:p>
        </w:tc>
        <w:tc>
          <w:tcPr>
            <w:tcW w:w="1568" w:type="dxa"/>
            <w:vAlign w:val="top"/>
          </w:tcPr>
          <w:p w14:paraId="72E1D54E">
            <w:pPr>
              <w:spacing w:line="245" w:lineRule="auto"/>
              <w:rPr>
                <w:rFonts w:ascii="Arial"/>
                <w:sz w:val="21"/>
              </w:rPr>
            </w:pPr>
          </w:p>
          <w:p w14:paraId="78F8D5B4">
            <w:pPr>
              <w:pStyle w:val="7"/>
              <w:spacing w:before="78" w:line="183" w:lineRule="auto"/>
              <w:ind w:left="414"/>
            </w:pPr>
            <w:r>
              <w:rPr>
                <w:spacing w:val="-2"/>
              </w:rPr>
              <w:t>0.0435</w:t>
            </w:r>
          </w:p>
        </w:tc>
        <w:tc>
          <w:tcPr>
            <w:tcW w:w="1868" w:type="dxa"/>
            <w:vAlign w:val="top"/>
          </w:tcPr>
          <w:p w14:paraId="128B0ED9">
            <w:pPr>
              <w:spacing w:line="245" w:lineRule="auto"/>
              <w:rPr>
                <w:rFonts w:ascii="Arial"/>
                <w:sz w:val="21"/>
              </w:rPr>
            </w:pPr>
          </w:p>
          <w:p w14:paraId="73EDF7E2">
            <w:pPr>
              <w:pStyle w:val="7"/>
              <w:spacing w:before="78" w:line="183" w:lineRule="auto"/>
              <w:ind w:left="867"/>
            </w:pPr>
            <w:r>
              <w:t>0</w:t>
            </w:r>
          </w:p>
        </w:tc>
        <w:tc>
          <w:tcPr>
            <w:tcW w:w="1573" w:type="dxa"/>
            <w:vAlign w:val="top"/>
          </w:tcPr>
          <w:p w14:paraId="079A399C">
            <w:pPr>
              <w:spacing w:line="243" w:lineRule="auto"/>
              <w:rPr>
                <w:rFonts w:ascii="Arial"/>
                <w:sz w:val="21"/>
              </w:rPr>
            </w:pPr>
          </w:p>
          <w:p w14:paraId="74CFC3E1">
            <w:pPr>
              <w:pStyle w:val="7"/>
              <w:spacing w:before="79" w:line="184" w:lineRule="auto"/>
              <w:ind w:left="538"/>
            </w:pPr>
            <w:r>
              <w:rPr>
                <w:spacing w:val="-3"/>
              </w:rPr>
              <w:t>0.10</w:t>
            </w:r>
          </w:p>
        </w:tc>
      </w:tr>
      <w:tr w14:paraId="35602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924" w:type="dxa"/>
            <w:vMerge w:val="continue"/>
            <w:tcBorders>
              <w:top w:val="nil"/>
            </w:tcBorders>
            <w:vAlign w:val="top"/>
          </w:tcPr>
          <w:p w14:paraId="4EB77276">
            <w:pPr>
              <w:rPr>
                <w:rFonts w:ascii="Arial"/>
                <w:sz w:val="21"/>
              </w:rPr>
            </w:pPr>
          </w:p>
        </w:tc>
        <w:tc>
          <w:tcPr>
            <w:tcW w:w="2896" w:type="dxa"/>
            <w:vAlign w:val="top"/>
          </w:tcPr>
          <w:p w14:paraId="3914F46B">
            <w:pPr>
              <w:pStyle w:val="7"/>
              <w:spacing w:before="273" w:line="219" w:lineRule="auto"/>
              <w:ind w:left="120"/>
            </w:pPr>
            <w:r>
              <w:t>和郁村第十四经济合作社</w:t>
            </w:r>
          </w:p>
        </w:tc>
        <w:tc>
          <w:tcPr>
            <w:tcW w:w="1568" w:type="dxa"/>
            <w:vAlign w:val="top"/>
          </w:tcPr>
          <w:p w14:paraId="382AD710">
            <w:pPr>
              <w:spacing w:line="255" w:lineRule="auto"/>
              <w:rPr>
                <w:rFonts w:ascii="Arial"/>
                <w:sz w:val="21"/>
              </w:rPr>
            </w:pPr>
          </w:p>
          <w:p w14:paraId="685A0A9B">
            <w:pPr>
              <w:pStyle w:val="7"/>
              <w:spacing w:before="78" w:line="184" w:lineRule="auto"/>
              <w:ind w:left="355"/>
            </w:pPr>
            <w:r>
              <w:rPr>
                <w:spacing w:val="-2"/>
              </w:rPr>
              <w:t>26.0010</w:t>
            </w:r>
          </w:p>
        </w:tc>
        <w:tc>
          <w:tcPr>
            <w:tcW w:w="1868" w:type="dxa"/>
            <w:vAlign w:val="top"/>
          </w:tcPr>
          <w:p w14:paraId="7C5060F4">
            <w:pPr>
              <w:spacing w:line="257" w:lineRule="auto"/>
              <w:rPr>
                <w:rFonts w:ascii="Arial"/>
                <w:sz w:val="21"/>
              </w:rPr>
            </w:pPr>
          </w:p>
          <w:p w14:paraId="6599EAF1">
            <w:pPr>
              <w:pStyle w:val="7"/>
              <w:spacing w:before="78" w:line="183" w:lineRule="auto"/>
              <w:ind w:left="867"/>
            </w:pPr>
            <w:r>
              <w:t>0</w:t>
            </w:r>
          </w:p>
        </w:tc>
        <w:tc>
          <w:tcPr>
            <w:tcW w:w="1573" w:type="dxa"/>
            <w:vAlign w:val="top"/>
          </w:tcPr>
          <w:p w14:paraId="7F0D8DAD">
            <w:pPr>
              <w:spacing w:line="257" w:lineRule="auto"/>
              <w:rPr>
                <w:rFonts w:ascii="Arial"/>
                <w:sz w:val="21"/>
              </w:rPr>
            </w:pPr>
          </w:p>
          <w:p w14:paraId="18E54DF0">
            <w:pPr>
              <w:pStyle w:val="7"/>
              <w:spacing w:before="78" w:line="183" w:lineRule="auto"/>
              <w:ind w:left="478"/>
            </w:pPr>
            <w:r>
              <w:rPr>
                <w:spacing w:val="-3"/>
              </w:rPr>
              <w:t>55.65</w:t>
            </w:r>
          </w:p>
        </w:tc>
      </w:tr>
      <w:tr w14:paraId="43010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924" w:type="dxa"/>
            <w:vAlign w:val="top"/>
          </w:tcPr>
          <w:p w14:paraId="4241C973">
            <w:pPr>
              <w:pStyle w:val="7"/>
              <w:spacing w:before="267" w:line="219" w:lineRule="auto"/>
              <w:ind w:left="95"/>
            </w:pPr>
            <w:r>
              <w:rPr>
                <w:spacing w:val="-3"/>
              </w:rPr>
              <w:t>狮岭镇</w:t>
            </w:r>
          </w:p>
        </w:tc>
        <w:tc>
          <w:tcPr>
            <w:tcW w:w="2896" w:type="dxa"/>
            <w:vAlign w:val="top"/>
          </w:tcPr>
          <w:p w14:paraId="0F30D764">
            <w:pPr>
              <w:pStyle w:val="7"/>
              <w:spacing w:before="267" w:line="219" w:lineRule="auto"/>
              <w:ind w:left="600"/>
            </w:pPr>
            <w:r>
              <w:rPr>
                <w:spacing w:val="1"/>
              </w:rPr>
              <w:t>新民经济联合社</w:t>
            </w:r>
          </w:p>
        </w:tc>
        <w:tc>
          <w:tcPr>
            <w:tcW w:w="1568" w:type="dxa"/>
            <w:vAlign w:val="top"/>
          </w:tcPr>
          <w:p w14:paraId="1781A985">
            <w:pPr>
              <w:spacing w:line="248" w:lineRule="auto"/>
              <w:rPr>
                <w:rFonts w:ascii="Arial"/>
                <w:sz w:val="21"/>
              </w:rPr>
            </w:pPr>
          </w:p>
          <w:p w14:paraId="619EC360">
            <w:pPr>
              <w:pStyle w:val="7"/>
              <w:spacing w:before="78" w:line="184" w:lineRule="auto"/>
              <w:ind w:left="414"/>
            </w:pPr>
            <w:r>
              <w:rPr>
                <w:spacing w:val="-4"/>
              </w:rPr>
              <w:t>1.6560</w:t>
            </w:r>
          </w:p>
        </w:tc>
        <w:tc>
          <w:tcPr>
            <w:tcW w:w="1868" w:type="dxa"/>
            <w:vAlign w:val="top"/>
          </w:tcPr>
          <w:p w14:paraId="56149788">
            <w:pPr>
              <w:spacing w:line="249" w:lineRule="auto"/>
              <w:rPr>
                <w:rFonts w:ascii="Arial"/>
                <w:sz w:val="21"/>
              </w:rPr>
            </w:pPr>
          </w:p>
          <w:p w14:paraId="3DAEBB9C">
            <w:pPr>
              <w:pStyle w:val="7"/>
              <w:spacing w:before="78" w:line="183" w:lineRule="auto"/>
              <w:ind w:left="867"/>
            </w:pPr>
            <w:r>
              <w:t>0</w:t>
            </w:r>
          </w:p>
        </w:tc>
        <w:tc>
          <w:tcPr>
            <w:tcW w:w="1573" w:type="dxa"/>
            <w:vAlign w:val="top"/>
          </w:tcPr>
          <w:p w14:paraId="3D1860FB">
            <w:pPr>
              <w:spacing w:line="249" w:lineRule="auto"/>
              <w:rPr>
                <w:rFonts w:ascii="Arial"/>
                <w:sz w:val="21"/>
              </w:rPr>
            </w:pPr>
          </w:p>
          <w:p w14:paraId="276FE8EC">
            <w:pPr>
              <w:pStyle w:val="7"/>
              <w:spacing w:before="78" w:line="183" w:lineRule="auto"/>
              <w:ind w:left="538"/>
            </w:pPr>
            <w:r>
              <w:rPr>
                <w:spacing w:val="-3"/>
              </w:rPr>
              <w:t>3.55</w:t>
            </w:r>
          </w:p>
        </w:tc>
      </w:tr>
      <w:tr w14:paraId="41EB9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3820" w:type="dxa"/>
            <w:gridSpan w:val="2"/>
            <w:vAlign w:val="top"/>
          </w:tcPr>
          <w:p w14:paraId="77ECB45B">
            <w:pPr>
              <w:pStyle w:val="7"/>
              <w:spacing w:before="270" w:line="221" w:lineRule="auto"/>
              <w:ind w:left="1665"/>
            </w:pPr>
            <w:r>
              <w:rPr>
                <w:spacing w:val="5"/>
              </w:rPr>
              <w:t>合计</w:t>
            </w:r>
          </w:p>
        </w:tc>
        <w:tc>
          <w:tcPr>
            <w:tcW w:w="1568" w:type="dxa"/>
            <w:vAlign w:val="top"/>
          </w:tcPr>
          <w:p w14:paraId="3916E139">
            <w:pPr>
              <w:spacing w:line="251" w:lineRule="auto"/>
              <w:rPr>
                <w:rFonts w:ascii="Arial"/>
                <w:sz w:val="21"/>
              </w:rPr>
            </w:pPr>
          </w:p>
          <w:p w14:paraId="2460FC55">
            <w:pPr>
              <w:pStyle w:val="7"/>
              <w:spacing w:before="78" w:line="183" w:lineRule="auto"/>
              <w:ind w:left="355"/>
            </w:pPr>
            <w:r>
              <w:rPr>
                <w:spacing w:val="-2"/>
              </w:rPr>
              <w:t>27.7005</w:t>
            </w:r>
          </w:p>
        </w:tc>
        <w:tc>
          <w:tcPr>
            <w:tcW w:w="1868" w:type="dxa"/>
            <w:vAlign w:val="top"/>
          </w:tcPr>
          <w:p w14:paraId="383BADBC">
            <w:pPr>
              <w:spacing w:line="251" w:lineRule="auto"/>
              <w:rPr>
                <w:rFonts w:ascii="Arial"/>
                <w:sz w:val="21"/>
              </w:rPr>
            </w:pPr>
          </w:p>
          <w:p w14:paraId="469F58C2">
            <w:pPr>
              <w:pStyle w:val="7"/>
              <w:spacing w:before="78" w:line="183" w:lineRule="auto"/>
              <w:ind w:left="867"/>
            </w:pPr>
            <w:r>
              <w:t>0</w:t>
            </w:r>
          </w:p>
        </w:tc>
        <w:tc>
          <w:tcPr>
            <w:tcW w:w="1573" w:type="dxa"/>
            <w:vAlign w:val="top"/>
          </w:tcPr>
          <w:p w14:paraId="7BF183E3">
            <w:pPr>
              <w:spacing w:line="251" w:lineRule="auto"/>
              <w:rPr>
                <w:rFonts w:ascii="Arial"/>
                <w:sz w:val="21"/>
              </w:rPr>
            </w:pPr>
          </w:p>
          <w:p w14:paraId="557F4D0B">
            <w:pPr>
              <w:pStyle w:val="7"/>
              <w:spacing w:before="78" w:line="183" w:lineRule="auto"/>
              <w:ind w:left="478"/>
            </w:pPr>
            <w:r>
              <w:rPr>
                <w:spacing w:val="-3"/>
              </w:rPr>
              <w:t>59.30</w:t>
            </w:r>
          </w:p>
        </w:tc>
      </w:tr>
    </w:tbl>
    <w:p w14:paraId="68D14973">
      <w:pPr>
        <w:spacing w:before="65" w:line="234" w:lineRule="auto"/>
        <w:ind w:right="235" w:firstLine="40"/>
        <w:jc w:val="both"/>
        <w:rPr>
          <w:rFonts w:ascii="仿宋" w:hAnsi="仿宋" w:eastAsia="仿宋" w:cs="仿宋"/>
          <w:sz w:val="24"/>
          <w:szCs w:val="24"/>
        </w:rPr>
      </w:pPr>
      <w:r>
        <w:rPr>
          <w:rFonts w:ascii="仿宋" w:hAnsi="仿宋" w:eastAsia="仿宋" w:cs="仿宋"/>
          <w:spacing w:val="3"/>
          <w:sz w:val="24"/>
          <w:szCs w:val="24"/>
        </w:rPr>
        <w:t>备注：该项目按2.14万元/亩的标准计提征地社保费，即：按征地补偿安置方案制 定时，花都区平均每亩征收农用地区片综合地价13.33万元/亩的16%。属于农</w:t>
      </w:r>
      <w:r>
        <w:rPr>
          <w:rFonts w:ascii="仿宋" w:hAnsi="仿宋" w:eastAsia="仿宋" w:cs="仿宋"/>
          <w:spacing w:val="2"/>
          <w:sz w:val="24"/>
          <w:szCs w:val="24"/>
        </w:rPr>
        <w:t>村集</w:t>
      </w:r>
      <w:r>
        <w:rPr>
          <w:rFonts w:ascii="仿宋" w:hAnsi="仿宋" w:eastAsia="仿宋" w:cs="仿宋"/>
          <w:sz w:val="24"/>
          <w:szCs w:val="24"/>
        </w:rPr>
        <w:t xml:space="preserve"> </w:t>
      </w:r>
      <w:r>
        <w:rPr>
          <w:rFonts w:ascii="仿宋" w:hAnsi="仿宋" w:eastAsia="仿宋" w:cs="仿宋"/>
          <w:spacing w:val="-3"/>
          <w:sz w:val="24"/>
          <w:szCs w:val="24"/>
        </w:rPr>
        <w:t>体经济组织留用地的，按规定不计提征地社保费。</w:t>
      </w:r>
    </w:p>
    <w:p w14:paraId="272E8B7D">
      <w:pPr>
        <w:pStyle w:val="2"/>
        <w:spacing w:before="55" w:line="234" w:lineRule="auto"/>
        <w:ind w:right="173" w:firstLine="40"/>
        <w:jc w:val="both"/>
        <w:rPr>
          <w:spacing w:val="-3"/>
          <w:sz w:val="24"/>
          <w:szCs w:val="24"/>
        </w:rPr>
      </w:pPr>
    </w:p>
    <w:sectPr>
      <w:footerReference r:id="rId7" w:type="default"/>
      <w:pgSz w:w="11910" w:h="16850"/>
      <w:pgMar w:top="1432" w:right="1604" w:bottom="1767" w:left="1549" w:header="0" w:footer="146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55600">
    <w:pPr>
      <w:spacing w:line="177" w:lineRule="auto"/>
      <w:rPr>
        <w:rFonts w:ascii="宋体" w:hAnsi="宋体" w:eastAsia="宋体" w:cs="宋体"/>
        <w:sz w:val="32"/>
        <w:szCs w:val="32"/>
      </w:rPr>
    </w:pPr>
    <w:r>
      <w:rPr>
        <w:rFonts w:ascii="宋体" w:hAnsi="宋体" w:eastAsia="宋体" w:cs="宋体"/>
        <w:spacing w:val="-4"/>
        <w:sz w:val="32"/>
        <w:szCs w:val="32"/>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2B001">
    <w:pPr>
      <w:spacing w:line="177" w:lineRule="auto"/>
      <w:ind w:left="7749"/>
      <w:rPr>
        <w:rFonts w:ascii="宋体" w:hAnsi="宋体" w:eastAsia="宋体" w:cs="宋体"/>
        <w:sz w:val="32"/>
        <w:szCs w:val="32"/>
      </w:rPr>
    </w:pPr>
    <w:r>
      <w:rPr>
        <w:rFonts w:ascii="宋体" w:hAnsi="宋体" w:eastAsia="宋体" w:cs="宋体"/>
        <w:spacing w:val="-4"/>
        <w:sz w:val="32"/>
        <w:szCs w:val="32"/>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A8F51">
    <w:pPr>
      <w:spacing w:line="177" w:lineRule="auto"/>
      <w:rPr>
        <w:rFonts w:ascii="宋体" w:hAnsi="宋体" w:eastAsia="宋体" w:cs="宋体"/>
        <w:sz w:val="31"/>
        <w:szCs w:val="31"/>
      </w:rPr>
    </w:pPr>
    <w:r>
      <w:rPr>
        <w:rFonts w:ascii="宋体" w:hAnsi="宋体" w:eastAsia="宋体" w:cs="宋体"/>
        <w:spacing w:val="-4"/>
        <w:sz w:val="31"/>
        <w:szCs w:val="31"/>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GFhZDdhYjg5N2Y5YzBjZmQxYzQ5ODBhZWQxYzkyYjYifQ=="/>
  </w:docVars>
  <w:rsids>
    <w:rsidRoot w:val="00000000"/>
    <w:rsid w:val="4BB8645E"/>
    <w:rsid w:val="4F0A3D82"/>
    <w:rsid w:val="523C3967"/>
    <w:rsid w:val="53957A31"/>
    <w:rsid w:val="58D1576A"/>
    <w:rsid w:val="777D14CD"/>
    <w:rsid w:val="78E47CFE"/>
    <w:rsid w:val="7C5A3E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7"/>
      <w:szCs w:val="37"/>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1279</Words>
  <Characters>1376</Characters>
  <TotalTime>0</TotalTime>
  <ScaleCrop>false</ScaleCrop>
  <LinksUpToDate>false</LinksUpToDate>
  <CharactersWithSpaces>1380</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2024-10-11T10:57:00Z</dcterms:created>
  <dc:creator>Kingsoft-PDF</dc:creator>
  <cp:lastModifiedBy>KingStorm</cp:lastModifiedBy>
  <dcterms:modified xsi:type="dcterms:W3CDTF">2024-10-25T01:51:18Z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2024-10-11T10:57:39Z</vt:filetime>
  </property>
  <property fmtid="{D5CDD505-2E9C-101B-9397-08002B2CF9AE}" pid="4" name="UsrData">
    <vt:lpwstr>670894205f6ca9001fbfa7abwl</vt:lpwstr>
  </property>
  <property fmtid="{D5CDD505-2E9C-101B-9397-08002B2CF9AE}" pid="5" name="KSOProductBuildVer">
    <vt:lpwstr>2052-12.1.0.18276</vt:lpwstr>
  </property>
  <property fmtid="{D5CDD505-2E9C-101B-9397-08002B2CF9AE}" pid="6" name="ICV">
    <vt:lpwstr>0EE0AECCE0AC4F56B88548AFAB691EEB_12</vt:lpwstr>
  </property>
</Properties>
</file>