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34" w:lineRule="exact"/>
        <w:ind w:right="0"/>
        <w:jc w:val="center"/>
        <w:rPr>
          <w:rFonts w:hint="eastAsia" w:ascii="方正小标宋简体" w:hAnsi="方正小标宋简体" w:eastAsia="方正小标宋简体" w:cs="方正小标宋简体"/>
          <w:sz w:val="32"/>
          <w:szCs w:val="32"/>
          <w:lang w:eastAsia="zh-CN"/>
        </w:rPr>
      </w:pPr>
    </w:p>
    <w:p>
      <w:pPr>
        <w:pStyle w:val="2"/>
        <w:spacing w:before="0" w:after="0" w:line="240" w:lineRule="auto"/>
        <w:rPr>
          <w:rFonts w:hint="eastAsia"/>
          <w:lang w:eastAsia="zh-CN"/>
        </w:rPr>
      </w:pPr>
    </w:p>
    <w:p>
      <w:pPr>
        <w:spacing w:before="0" w:line="534" w:lineRule="exact"/>
        <w:ind w:right="0"/>
        <w:jc w:val="center"/>
        <w:rPr>
          <w:rFonts w:hint="eastAsia" w:ascii="方正小标宋简体" w:hAnsi="方正小标宋简体" w:eastAsia="方正小标宋简体" w:cs="方正小标宋简体"/>
          <w:sz w:val="32"/>
          <w:szCs w:val="32"/>
          <w:lang w:eastAsia="zh-CN"/>
        </w:rPr>
      </w:pPr>
    </w:p>
    <w:p>
      <w:pPr>
        <w:spacing w:before="0" w:line="534" w:lineRule="exact"/>
        <w:ind w:right="0"/>
        <w:jc w:val="center"/>
        <w:rPr>
          <w:rFonts w:hint="eastAsia" w:ascii="方正小标宋简体" w:hAnsi="方正小标宋简体" w:eastAsia="方正小标宋简体" w:cs="方正小标宋简体"/>
          <w:sz w:val="44"/>
          <w:szCs w:val="44"/>
          <w:lang w:eastAsia="zh-CN"/>
        </w:rPr>
      </w:pPr>
    </w:p>
    <w:p>
      <w:pPr>
        <w:spacing w:before="0" w:line="534" w:lineRule="exact"/>
        <w:ind w:right="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广州市花都区</w:t>
      </w:r>
      <w:r>
        <w:rPr>
          <w:rFonts w:hint="eastAsia" w:ascii="方正小标宋简体" w:hAnsi="方正小标宋简体" w:eastAsia="方正小标宋简体" w:cs="方正小标宋简体"/>
          <w:sz w:val="44"/>
          <w:szCs w:val="44"/>
          <w:lang w:val="en-US" w:eastAsia="zh-CN"/>
        </w:rPr>
        <w:t>2024年度第十三批次城镇建设用地（机二高项目大塘村留用地）</w:t>
      </w:r>
    </w:p>
    <w:p>
      <w:pPr>
        <w:spacing w:before="0" w:line="534" w:lineRule="exact"/>
        <w:ind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征地补偿安置方案</w:t>
      </w:r>
    </w:p>
    <w:p>
      <w:pPr>
        <w:spacing w:before="7" w:line="240" w:lineRule="auto"/>
        <w:rPr>
          <w:rFonts w:ascii="Adobe 黑体 Std R" w:hAnsi="Adobe 黑体 Std R" w:eastAsia="Adobe 黑体 Std R" w:cs="Adobe 黑体 Std R"/>
          <w:sz w:val="34"/>
          <w:szCs w:val="34"/>
        </w:rPr>
      </w:pPr>
    </w:p>
    <w:p>
      <w:pPr>
        <w:pStyle w:val="4"/>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pacing w:val="-20"/>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花东</w:t>
      </w:r>
      <w:r>
        <w:rPr>
          <w:rFonts w:hint="eastAsia" w:ascii="仿宋_GB2312" w:hAnsi="仿宋_GB2312" w:eastAsia="仿宋_GB2312" w:cs="仿宋_GB2312"/>
          <w:sz w:val="32"/>
          <w:szCs w:val="32"/>
        </w:rPr>
        <w:t>镇建设规划，完善城市功</w:t>
      </w:r>
      <w:r>
        <w:rPr>
          <w:rFonts w:hint="eastAsia" w:ascii="仿宋_GB2312" w:hAnsi="仿宋_GB2312" w:eastAsia="仿宋_GB2312" w:cs="仿宋_GB2312"/>
          <w:spacing w:val="6"/>
          <w:sz w:val="32"/>
          <w:szCs w:val="32"/>
        </w:rPr>
        <w:t>能</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改善城市环境，促进经济、文化发展，广州市</w:t>
      </w:r>
      <w:r>
        <w:rPr>
          <w:rFonts w:hint="eastAsia" w:ascii="仿宋_GB2312" w:hAnsi="仿宋_GB2312" w:eastAsia="仿宋_GB2312" w:cs="仿宋_GB2312"/>
          <w:spacing w:val="6"/>
          <w:sz w:val="32"/>
          <w:szCs w:val="32"/>
          <w:lang w:eastAsia="zh-CN"/>
        </w:rPr>
        <w:t>花都</w:t>
      </w:r>
      <w:r>
        <w:rPr>
          <w:rFonts w:hint="eastAsia" w:ascii="仿宋_GB2312" w:hAnsi="仿宋_GB2312" w:eastAsia="仿宋_GB2312" w:cs="仿宋_GB2312"/>
          <w:spacing w:val="3"/>
          <w:sz w:val="32"/>
          <w:szCs w:val="32"/>
        </w:rPr>
        <w:t>区人</w:t>
      </w:r>
      <w:r>
        <w:rPr>
          <w:rFonts w:hint="eastAsia" w:ascii="仿宋_GB2312" w:hAnsi="仿宋_GB2312" w:eastAsia="仿宋_GB2312" w:cs="仿宋_GB2312"/>
          <w:spacing w:val="5"/>
          <w:sz w:val="32"/>
          <w:szCs w:val="32"/>
        </w:rPr>
        <w:t>民政府拟征收</w:t>
      </w:r>
      <w:r>
        <w:rPr>
          <w:rFonts w:hint="eastAsia" w:ascii="仿宋_GB2312" w:hAnsi="仿宋_GB2312" w:eastAsia="仿宋_GB2312" w:cs="仿宋_GB2312"/>
          <w:spacing w:val="-27"/>
          <w:sz w:val="32"/>
          <w:szCs w:val="32"/>
          <w:lang w:val="en-US" w:eastAsia="zh-CN"/>
        </w:rPr>
        <w:t>花东</w:t>
      </w:r>
      <w:r>
        <w:rPr>
          <w:rFonts w:hint="eastAsia" w:ascii="仿宋_GB2312" w:hAnsi="仿宋_GB2312" w:eastAsia="仿宋_GB2312" w:cs="仿宋_GB2312"/>
          <w:spacing w:val="6"/>
          <w:sz w:val="32"/>
          <w:szCs w:val="32"/>
        </w:rPr>
        <w:t>镇</w:t>
      </w:r>
      <w:r>
        <w:rPr>
          <w:rFonts w:hint="eastAsia" w:ascii="仿宋_GB2312" w:hAnsi="仿宋_GB2312" w:eastAsia="仿宋_GB2312" w:cs="仿宋_GB2312"/>
          <w:spacing w:val="6"/>
          <w:sz w:val="32"/>
          <w:szCs w:val="32"/>
          <w:lang w:val="en-US" w:eastAsia="zh-CN"/>
        </w:rPr>
        <w:t>象山村第三经济合作社</w:t>
      </w:r>
      <w:r>
        <w:rPr>
          <w:rFonts w:hint="eastAsia" w:ascii="仿宋_GB2312" w:hAnsi="仿宋_GB2312" w:eastAsia="仿宋_GB2312" w:cs="仿宋_GB2312"/>
          <w:spacing w:val="6"/>
          <w:sz w:val="32"/>
          <w:szCs w:val="32"/>
        </w:rPr>
        <w:t>属</w:t>
      </w:r>
      <w:r>
        <w:rPr>
          <w:rFonts w:hint="eastAsia" w:ascii="仿宋_GB2312" w:hAnsi="仿宋_GB2312" w:eastAsia="仿宋_GB2312" w:cs="仿宋_GB2312"/>
          <w:sz w:val="32"/>
          <w:szCs w:val="32"/>
        </w:rPr>
        <w:t>下的集体土地</w:t>
      </w:r>
      <w:r>
        <w:rPr>
          <w:rFonts w:hint="eastAsia" w:ascii="Times New Roman" w:hAnsi="Times New Roman" w:eastAsia="仿宋_GB2312" w:cs="Times New Roman"/>
          <w:sz w:val="32"/>
          <w:szCs w:val="32"/>
          <w:lang w:val="en-US" w:eastAsia="zh-CN"/>
        </w:rPr>
        <w:t>0.5898</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rPr>
        <w:t>根据《中华人民共和国土地管理法》第二</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《中华人民共和国土地管理法实施条例》第二十七条、第二十八条，以及《广东省</w:t>
      </w:r>
      <w:r>
        <w:rPr>
          <w:rFonts w:hint="eastAsia" w:ascii="仿宋_GB2312" w:hAnsi="仿宋_GB2312" w:eastAsia="仿宋_GB2312" w:cs="仿宋_GB2312"/>
          <w:spacing w:val="6"/>
          <w:sz w:val="32"/>
          <w:szCs w:val="32"/>
        </w:rPr>
        <w:t>土地管理条例》第三十条等规定，结合</w:t>
      </w:r>
      <w:r>
        <w:rPr>
          <w:rFonts w:hint="eastAsia" w:ascii="仿宋_GB2312" w:hAnsi="仿宋_GB2312" w:eastAsia="仿宋_GB2312" w:cs="仿宋_GB2312"/>
          <w:spacing w:val="6"/>
          <w:sz w:val="32"/>
          <w:szCs w:val="32"/>
          <w:lang w:eastAsia="zh-CN"/>
        </w:rPr>
        <w:t>花都</w:t>
      </w:r>
      <w:r>
        <w:rPr>
          <w:rFonts w:hint="eastAsia" w:ascii="仿宋_GB2312" w:hAnsi="仿宋_GB2312" w:eastAsia="仿宋_GB2312" w:cs="仿宋_GB2312"/>
          <w:spacing w:val="5"/>
          <w:sz w:val="32"/>
          <w:szCs w:val="32"/>
        </w:rPr>
        <w:t>区的征收农用地</w:t>
      </w:r>
      <w:r>
        <w:rPr>
          <w:rFonts w:hint="eastAsia" w:ascii="仿宋_GB2312" w:hAnsi="仿宋_GB2312" w:eastAsia="仿宋_GB2312" w:cs="仿宋_GB2312"/>
          <w:sz w:val="32"/>
          <w:szCs w:val="32"/>
        </w:rPr>
        <w:t>区片综合地价和实际情况，拟定了征地补偿安置方案，具体如下：</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拟征收土地位于广州市花都区</w:t>
      </w:r>
      <w:r>
        <w:rPr>
          <w:rFonts w:hint="eastAsia" w:ascii="Times New Roman" w:hAnsi="Times New Roman" w:eastAsia="仿宋_GB2312" w:cs="Times New Roman"/>
          <w:sz w:val="32"/>
          <w:szCs w:val="32"/>
          <w:lang w:val="en-US" w:eastAsia="zh-CN"/>
        </w:rPr>
        <w:t>花东</w:t>
      </w:r>
      <w:r>
        <w:rPr>
          <w:rFonts w:hint="default" w:ascii="Times New Roman" w:hAnsi="Times New Roman" w:eastAsia="仿宋_GB2312" w:cs="Times New Roman"/>
          <w:sz w:val="32"/>
          <w:szCs w:val="32"/>
        </w:rPr>
        <w:t>镇</w:t>
      </w:r>
      <w:r>
        <w:rPr>
          <w:rFonts w:hint="eastAsia" w:ascii="Times New Roman" w:hAnsi="Times New Roman" w:eastAsia="仿宋_GB2312" w:cs="Times New Roman"/>
          <w:sz w:val="32"/>
          <w:szCs w:val="32"/>
          <w:lang w:val="en-US" w:eastAsia="zh-CN"/>
        </w:rPr>
        <w:t>象山</w:t>
      </w:r>
      <w:r>
        <w:rPr>
          <w:rFonts w:hint="eastAsia"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范围内。</w:t>
      </w:r>
      <w:r>
        <w:rPr>
          <w:rFonts w:hint="eastAsia" w:ascii="仿宋_GB2312" w:hAnsi="仿宋_GB2312" w:eastAsia="仿宋_GB2312" w:cs="仿宋_GB2312"/>
          <w:sz w:val="32"/>
          <w:szCs w:val="32"/>
        </w:rPr>
        <w:t>实际征收土地范围以最终批准文件为准。</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default" w:ascii="Times New Roman" w:hAnsi="Times New Roman" w:eastAsia="仿宋_GB2312" w:cs="Times New Roman"/>
          <w:sz w:val="32"/>
          <w:szCs w:val="32"/>
        </w:rPr>
        <w:t>根据《中华人民共和国土地管理法》第四十五条的规定，本次征收土地目的</w:t>
      </w:r>
      <w:r>
        <w:rPr>
          <w:rFonts w:hint="eastAsia" w:ascii="Times New Roman" w:hAnsi="Times New Roman" w:eastAsia="仿宋_GB2312" w:cs="Times New Roman"/>
          <w:sz w:val="32"/>
          <w:szCs w:val="32"/>
          <w:lang w:eastAsia="zh-CN"/>
        </w:rPr>
        <w:t>为，</w:t>
      </w:r>
      <w:r>
        <w:rPr>
          <w:rFonts w:hint="eastAsia" w:ascii="Times New Roman" w:hAnsi="Times New Roman" w:eastAsia="仿宋_GB2312" w:cs="Times New Roman"/>
          <w:bCs/>
          <w:sz w:val="32"/>
          <w:szCs w:val="32"/>
        </w:rPr>
        <w:t>为了公共利益的需要，在土地利用总体规划确定的城镇建设用地范围内，经省级以上人民政府批准由县级以上地方人民政府组织实施的成片开发建设需要用地的。</w:t>
      </w:r>
    </w:p>
    <w:p>
      <w:pPr>
        <w:pStyle w:val="4"/>
        <w:keepNext w:val="0"/>
        <w:keepLines w:val="0"/>
        <w:pageBreakBefore w:val="0"/>
        <w:widowControl w:val="0"/>
        <w:kinsoku/>
        <w:wordWrap/>
        <w:overflowPunct/>
        <w:topLinePunct w:val="0"/>
        <w:autoSpaceDE/>
        <w:autoSpaceDN/>
        <w:bidi w:val="0"/>
        <w:adjustRightInd/>
        <w:snapToGrid/>
        <w:spacing w:before="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三、土地现状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lang w:eastAsia="zh-CN"/>
        </w:rPr>
        <w:t>广州市花都区</w:t>
      </w:r>
      <w:r>
        <w:rPr>
          <w:rFonts w:hint="eastAsia" w:ascii="Times New Roman" w:hAnsi="Times New Roman" w:eastAsia="仿宋_GB2312" w:cs="Times New Roman"/>
          <w:sz w:val="32"/>
          <w:szCs w:val="32"/>
          <w:lang w:val="en-US" w:eastAsia="zh-CN"/>
        </w:rPr>
        <w:t>花东</w:t>
      </w:r>
      <w:r>
        <w:rPr>
          <w:rFonts w:hint="default" w:ascii="Times New Roman" w:hAnsi="Times New Roman" w:eastAsia="仿宋_GB2312" w:cs="Times New Roman"/>
          <w:sz w:val="32"/>
          <w:szCs w:val="32"/>
        </w:rPr>
        <w:t>镇</w:t>
      </w:r>
      <w:r>
        <w:rPr>
          <w:rFonts w:hint="eastAsia" w:ascii="Times New Roman" w:hAnsi="Times New Roman" w:eastAsia="仿宋_GB2312" w:cs="Times New Roman"/>
          <w:sz w:val="32"/>
          <w:szCs w:val="32"/>
          <w:lang w:val="en-US" w:eastAsia="zh-CN"/>
        </w:rPr>
        <w:t>象山村第三经济合作社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 xml:space="preserve">0..5898 </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eastAsia="zh-CN"/>
        </w:rPr>
        <w:t>，全部为</w:t>
      </w:r>
      <w:r>
        <w:rPr>
          <w:rFonts w:hint="default" w:ascii="Times New Roman" w:hAnsi="Times New Roman" w:eastAsia="仿宋_GB2312" w:cs="Times New Roman"/>
          <w:sz w:val="32"/>
          <w:szCs w:val="32"/>
        </w:rPr>
        <w:t>农用地</w:t>
      </w:r>
      <w:r>
        <w:rPr>
          <w:rFonts w:hint="eastAsia" w:ascii="Times New Roman" w:hAnsi="Times New Roman" w:eastAsia="仿宋_GB2312" w:cs="Times New Roman"/>
          <w:sz w:val="32"/>
          <w:szCs w:val="32"/>
          <w:lang w:eastAsia="zh-CN"/>
        </w:rPr>
        <w:t>（不含耕地）</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四、补偿方式和标准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根据《中华人民共和国土地管理法》《广东省土地管理条例》等规定，并结合《</w:t>
      </w:r>
      <w:r>
        <w:rPr>
          <w:rFonts w:hint="eastAsia" w:ascii="Times New Roman" w:hAnsi="Times New Roman" w:eastAsia="仿宋_GB2312" w:cs="Times New Roman"/>
          <w:sz w:val="32"/>
          <w:szCs w:val="32"/>
        </w:rPr>
        <w:t>广东省自然资源厅关于广州市征收农用地区片综合地价成果的批复》（粤自然资函〔202</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96</w:t>
      </w:r>
      <w:r>
        <w:rPr>
          <w:rFonts w:hint="eastAsia" w:ascii="Times New Roman" w:hAnsi="Times New Roman" w:eastAsia="仿宋_GB2312" w:cs="Times New Roman"/>
          <w:sz w:val="32"/>
          <w:szCs w:val="32"/>
        </w:rPr>
        <w:t>号）</w:t>
      </w:r>
      <w:r>
        <w:rPr>
          <w:rFonts w:hint="default" w:ascii="Times New Roman" w:hAnsi="Times New Roman" w:eastAsia="仿宋_GB2312" w:cs="Times New Roman"/>
          <w:sz w:val="32"/>
          <w:szCs w:val="32"/>
        </w:rPr>
        <w:t>，征收集体农</w:t>
      </w:r>
      <w:r>
        <w:rPr>
          <w:rFonts w:hint="default" w:ascii="Times New Roman" w:hAnsi="Times New Roman" w:eastAsia="仿宋_GB2312" w:cs="Times New Roman"/>
          <w:sz w:val="32"/>
          <w:szCs w:val="32"/>
          <w:lang w:val="en-US" w:eastAsia="zh-CN"/>
        </w:rPr>
        <w:t>用地按</w:t>
      </w:r>
      <w:r>
        <w:rPr>
          <w:rFonts w:hint="eastAsia" w:ascii="Times New Roman" w:hAnsi="Times New Roman" w:eastAsia="仿宋_GB2312" w:cs="Times New Roman"/>
          <w:sz w:val="32"/>
          <w:szCs w:val="32"/>
          <w:lang w:val="en-US" w:eastAsia="zh-CN"/>
        </w:rPr>
        <w:t>195</w:t>
      </w:r>
      <w:r>
        <w:rPr>
          <w:rFonts w:hint="default" w:ascii="Times New Roman" w:hAnsi="Times New Roman" w:eastAsia="仿宋_GB2312" w:cs="Times New Roman"/>
          <w:sz w:val="32"/>
          <w:szCs w:val="32"/>
          <w:lang w:val="en-US" w:eastAsia="zh-CN"/>
        </w:rPr>
        <w:t>万元/公顷补偿（其中，土地补偿费</w:t>
      </w:r>
      <w:r>
        <w:rPr>
          <w:rFonts w:hint="eastAsia" w:ascii="Times New Roman" w:hAnsi="Times New Roman" w:eastAsia="仿宋_GB2312" w:cs="Times New Roman"/>
          <w:sz w:val="32"/>
          <w:szCs w:val="32"/>
          <w:lang w:val="en-US" w:eastAsia="zh-CN"/>
        </w:rPr>
        <w:t>97.5</w:t>
      </w:r>
      <w:r>
        <w:rPr>
          <w:rFonts w:hint="default" w:ascii="Times New Roman" w:hAnsi="Times New Roman" w:eastAsia="仿宋_GB2312" w:cs="Times New Roman"/>
          <w:sz w:val="32"/>
          <w:szCs w:val="32"/>
          <w:lang w:val="en-US" w:eastAsia="zh-CN"/>
        </w:rPr>
        <w:t>万元/公顷、安置补助费</w:t>
      </w:r>
      <w:r>
        <w:rPr>
          <w:rFonts w:hint="eastAsia" w:ascii="Times New Roman" w:hAnsi="Times New Roman" w:eastAsia="仿宋_GB2312" w:cs="Times New Roman"/>
          <w:sz w:val="32"/>
          <w:szCs w:val="32"/>
          <w:lang w:val="en-US" w:eastAsia="zh-CN"/>
        </w:rPr>
        <w:t>97.5</w:t>
      </w:r>
      <w:r>
        <w:rPr>
          <w:rFonts w:hint="default" w:ascii="Times New Roman" w:hAnsi="Times New Roman" w:eastAsia="仿宋_GB2312" w:cs="Times New Roman"/>
          <w:sz w:val="32"/>
          <w:szCs w:val="32"/>
          <w:lang w:val="en-US" w:eastAsia="zh-CN"/>
        </w:rPr>
        <w:t>万元/公顷）的标</w:t>
      </w:r>
      <w:r>
        <w:rPr>
          <w:rFonts w:hint="default" w:ascii="Times New Roman" w:hAnsi="Times New Roman" w:eastAsia="仿宋_GB2312" w:cs="Times New Roman"/>
          <w:sz w:val="32"/>
          <w:szCs w:val="32"/>
        </w:rPr>
        <w:t>准补偿。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（二）农村村民住宅补偿</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本次征地不涉及农村村民住宅补偿。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参照</w:t>
      </w:r>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、《广州市花都区人民政府办公室印发花都区征收农民集体所有土地上简易建（构）筑物、附着物补偿标准的通知》</w:t>
      </w:r>
      <w:r>
        <w:rPr>
          <w:rFonts w:hint="default" w:ascii="Times New Roman" w:hAnsi="Times New Roman" w:eastAsia="仿宋_GB2312" w:cs="Times New Roman"/>
          <w:sz w:val="32"/>
          <w:szCs w:val="32"/>
          <w:lang w:eastAsia="zh-CN"/>
        </w:rPr>
        <w:t>（花府办〔201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eastAsia="zh-CN"/>
        </w:rPr>
        <w:t>号），按规定标准清点补偿，涉及的补偿款由村委依据征地方出具的补偿明细表发放。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五、安置对象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六、安置方式和社会保障</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rPr>
        <w:t>（二）留用地安置。根据《</w:t>
      </w:r>
      <w:r>
        <w:rPr>
          <w:rFonts w:hint="eastAsia" w:ascii="Times New Roman" w:hAnsi="Times New Roman" w:eastAsia="仿宋_GB2312" w:cs="Times New Roman"/>
          <w:sz w:val="32"/>
          <w:szCs w:val="32"/>
        </w:rPr>
        <w:t>广东省征收农村集体土地留用地管理办法</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粤</w:t>
      </w:r>
      <w:r>
        <w:rPr>
          <w:rFonts w:hint="default" w:ascii="Times New Roman" w:hAnsi="Times New Roman" w:eastAsia="仿宋_GB2312" w:cs="Times New Roman"/>
          <w:sz w:val="32"/>
          <w:szCs w:val="32"/>
        </w:rPr>
        <w:t>府办〔2009〕41号）</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《广东省人民政府办公厅关于 加强征收农村集体土地留用地安置管理工作的意见》（粤府办〔2016〕30号）相关规定，按实际征收土地面积的</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%安排留用地，</w:t>
      </w:r>
      <w:r>
        <w:rPr>
          <w:rFonts w:hint="default" w:ascii="Times New Roman" w:hAnsi="Times New Roman" w:eastAsia="仿宋_GB2312" w:cs="Times New Roman"/>
          <w:sz w:val="32"/>
          <w:szCs w:val="32"/>
          <w:lang w:val="en-US" w:eastAsia="zh-CN" w:bidi="ar-SA"/>
        </w:rPr>
        <w:t>留用地兑现方式为</w:t>
      </w:r>
      <w:r>
        <w:rPr>
          <w:rFonts w:hint="eastAsia" w:ascii="Times New Roman" w:hAnsi="Times New Roman" w:eastAsia="仿宋_GB2312" w:cs="Times New Roman"/>
          <w:sz w:val="32"/>
          <w:szCs w:val="32"/>
          <w:lang w:val="en-US" w:eastAsia="zh-CN" w:bidi="ar-SA"/>
        </w:rPr>
        <w:t>实物留地</w:t>
      </w:r>
      <w:r>
        <w:rPr>
          <w:rFonts w:hint="default" w:ascii="Times New Roman" w:hAnsi="Times New Roman" w:eastAsia="仿宋_GB2312" w:cs="Times New Roman"/>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SA"/>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val="en-US" w:eastAsia="zh-CN" w:bidi="ar-SA"/>
        </w:rPr>
        <w:t>核定该项目按2.14万元/亩的标准</w:t>
      </w:r>
      <w:r>
        <w:rPr>
          <w:rFonts w:hint="default" w:ascii="Times New Roman" w:hAnsi="Times New Roman" w:eastAsia="仿宋_GB2312" w:cs="Times New Roman"/>
          <w:sz w:val="32"/>
          <w:szCs w:val="32"/>
          <w:lang w:val="en-US" w:eastAsia="zh-CN" w:bidi="ar-SA"/>
        </w:rPr>
        <w:t>一次性</w:t>
      </w:r>
      <w:r>
        <w:rPr>
          <w:rFonts w:hint="eastAsia" w:ascii="Times New Roman" w:hAnsi="Times New Roman" w:eastAsia="仿宋_GB2312" w:cs="Times New Roman"/>
          <w:sz w:val="32"/>
          <w:szCs w:val="32"/>
          <w:lang w:val="en-US" w:eastAsia="zh-CN" w:bidi="ar-SA"/>
        </w:rPr>
        <w:t>将</w:t>
      </w:r>
      <w:r>
        <w:rPr>
          <w:rFonts w:hint="default" w:ascii="Times New Roman" w:hAnsi="Times New Roman" w:eastAsia="仿宋_GB2312" w:cs="Times New Roman"/>
          <w:sz w:val="32"/>
          <w:szCs w:val="32"/>
          <w:lang w:val="en-US" w:eastAsia="zh-CN" w:bidi="ar-SA"/>
        </w:rPr>
        <w:t>集体被征地农民养老保障资金存入“收缴被征地农民养老保障资金过渡户”，费用合计</w:t>
      </w:r>
      <w:r>
        <w:rPr>
          <w:rFonts w:hint="eastAsia" w:ascii="Times New Roman" w:hAnsi="Times New Roman" w:eastAsia="仿宋_GB2312" w:cs="Times New Roman"/>
          <w:sz w:val="32"/>
          <w:szCs w:val="32"/>
          <w:lang w:val="en-US" w:eastAsia="zh-CN" w:bidi="ar-SA"/>
        </w:rPr>
        <w:t xml:space="preserve">           18.94</w:t>
      </w:r>
      <w:r>
        <w:rPr>
          <w:rFonts w:hint="default" w:ascii="Times New Roman" w:hAnsi="Times New Roman" w:eastAsia="仿宋_GB2312" w:cs="Times New Roman"/>
          <w:sz w:val="32"/>
          <w:szCs w:val="32"/>
          <w:lang w:val="en-US" w:eastAsia="zh-CN" w:bidi="ar-SA"/>
        </w:rPr>
        <w:t>万元，专款用于</w:t>
      </w:r>
      <w:r>
        <w:rPr>
          <w:rFonts w:hint="default" w:ascii="Times New Roman" w:hAnsi="Times New Roman" w:eastAsia="仿宋_GB2312" w:cs="Times New Roman"/>
          <w:sz w:val="32"/>
          <w:szCs w:val="32"/>
        </w:rPr>
        <w:t>被征地农民缴纳养老保险费用。征地批准文件批复的实际范围有变化的，费用将做相应调整。</w:t>
      </w:r>
    </w:p>
    <w:p>
      <w:pPr>
        <w:pStyle w:val="4"/>
        <w:widowControl w:val="0"/>
        <w:numPr>
          <w:ilvl w:val="0"/>
          <w:numId w:val="0"/>
        </w:numPr>
        <w:spacing w:before="10" w:after="0" w:line="256" w:lineRule="auto"/>
        <w:ind w:right="111" w:rightChars="0"/>
        <w:jc w:val="both"/>
        <w:rPr>
          <w:rFonts w:hint="eastAsia" w:ascii="仿宋_GB2312" w:hAnsi="仿宋_GB2312" w:eastAsia="仿宋_GB2312" w:cs="仿宋_GB2312"/>
          <w:sz w:val="32"/>
          <w:szCs w:val="32"/>
        </w:rPr>
      </w:pPr>
    </w:p>
    <w:p>
      <w:pPr>
        <w:pStyle w:val="4"/>
        <w:spacing w:before="0" w:line="437" w:lineRule="exact"/>
        <w:ind w:left="0" w:right="260"/>
        <w:jc w:val="right"/>
        <w:rPr>
          <w:rFonts w:hint="eastAsia" w:ascii="仿宋_GB2312" w:hAnsi="仿宋_GB2312" w:eastAsia="仿宋_GB2312" w:cs="仿宋_GB2312"/>
          <w:sz w:val="32"/>
          <w:szCs w:val="32"/>
        </w:rPr>
      </w:pPr>
    </w:p>
    <w:p>
      <w:pPr>
        <w:pStyle w:val="4"/>
        <w:spacing w:before="0" w:line="437" w:lineRule="exact"/>
        <w:ind w:left="0" w:right="260"/>
        <w:jc w:val="right"/>
        <w:rPr>
          <w:rFonts w:hint="eastAsia" w:ascii="仿宋_GB2312" w:hAnsi="仿宋_GB2312" w:eastAsia="仿宋_GB2312" w:cs="仿宋_GB2312"/>
          <w:sz w:val="32"/>
          <w:szCs w:val="32"/>
        </w:rPr>
      </w:pPr>
    </w:p>
    <w:p>
      <w:pPr>
        <w:pStyle w:val="4"/>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pPr>
        <w:pStyle w:val="4"/>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日</w:t>
      </w: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hAnsi="Calibri" w:eastAsia="Calibri" w:cs="Calibri"/>
                              <w:sz w:val="18"/>
                              <w:szCs w:val="18"/>
                            </w:rPr>
                          </w:pPr>
                        </w:p>
                      </w:txbxContent>
                    </wps:txbx>
                    <wps:bodyPr lIns="0" tIns="0" rIns="0" bIns="0" upright="1"/>
                  </wps:wsp>
                </a:graphicData>
              </a:graphic>
            </wp:anchor>
          </w:drawing>
        </mc:Choice>
        <mc:Fallback>
          <w:pict>
            <v:shape id="文本框 1025"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rjVc2wAAAA0BAAAPAAAAAAAAAAEAIAAAACIAAABkcnMvZG93bnJldi54bWxQ&#10;SwECFAAUAAAACACHTuJAJuv/G7sBAAB0AwAADgAAAAAAAAABACAAAAAqAQAAZHJzL2Uyb0RvYy54&#10;bWxQSwUGAAAAAAYABgBZAQAAVwUAAAAA&#10;">
              <v:fill on="f" focussize="0,0"/>
              <v:stroke on="f"/>
              <v:imagedata o:title=""/>
              <o:lock v:ext="edit" aspectratio="f"/>
              <v:textbox inset="0mm,0mm,0mm,0mm">
                <w:txbxContent>
                  <w:p>
                    <w:pPr>
                      <w:spacing w:before="0" w:line="203" w:lineRule="exact"/>
                      <w:ind w:left="40" w:right="0" w:firstLine="0"/>
                      <w:jc w:val="left"/>
                      <w:rPr>
                        <w:rFonts w:ascii="Calibri" w:hAnsi="Calibri" w:eastAsia="Calibri" w:cs="Calibri"/>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705F4"/>
    <w:rsid w:val="022A33E1"/>
    <w:rsid w:val="04654DC4"/>
    <w:rsid w:val="0822151D"/>
    <w:rsid w:val="08682950"/>
    <w:rsid w:val="08D87341"/>
    <w:rsid w:val="0BC12118"/>
    <w:rsid w:val="0C890300"/>
    <w:rsid w:val="0E942A9C"/>
    <w:rsid w:val="161B7A15"/>
    <w:rsid w:val="162B00EE"/>
    <w:rsid w:val="16E50DE0"/>
    <w:rsid w:val="19977D8A"/>
    <w:rsid w:val="19B263B5"/>
    <w:rsid w:val="1A2D320A"/>
    <w:rsid w:val="1C257D13"/>
    <w:rsid w:val="1CCB1D6C"/>
    <w:rsid w:val="219E39B8"/>
    <w:rsid w:val="233419CD"/>
    <w:rsid w:val="25477C36"/>
    <w:rsid w:val="25D75364"/>
    <w:rsid w:val="29C73F17"/>
    <w:rsid w:val="2A1D6974"/>
    <w:rsid w:val="2A7F72DF"/>
    <w:rsid w:val="2BE439BC"/>
    <w:rsid w:val="2F2F33BB"/>
    <w:rsid w:val="33085EB0"/>
    <w:rsid w:val="33864E1C"/>
    <w:rsid w:val="33D44A17"/>
    <w:rsid w:val="34394804"/>
    <w:rsid w:val="34CC172C"/>
    <w:rsid w:val="39A42B0C"/>
    <w:rsid w:val="3A6A6102"/>
    <w:rsid w:val="3A7022ED"/>
    <w:rsid w:val="3AE643AB"/>
    <w:rsid w:val="3B8E0546"/>
    <w:rsid w:val="3D4536F5"/>
    <w:rsid w:val="3EE57102"/>
    <w:rsid w:val="40406581"/>
    <w:rsid w:val="446A770C"/>
    <w:rsid w:val="46753A21"/>
    <w:rsid w:val="48004C2D"/>
    <w:rsid w:val="48E262FF"/>
    <w:rsid w:val="492513F0"/>
    <w:rsid w:val="4B2B78C6"/>
    <w:rsid w:val="4C6E34AE"/>
    <w:rsid w:val="4D6331A9"/>
    <w:rsid w:val="4FDC68BF"/>
    <w:rsid w:val="505F6CEB"/>
    <w:rsid w:val="54382FF3"/>
    <w:rsid w:val="54E02594"/>
    <w:rsid w:val="55F2667C"/>
    <w:rsid w:val="58113744"/>
    <w:rsid w:val="59243B95"/>
    <w:rsid w:val="5EF369C2"/>
    <w:rsid w:val="5F7D66C9"/>
    <w:rsid w:val="63714235"/>
    <w:rsid w:val="6488303F"/>
    <w:rsid w:val="64ED2421"/>
    <w:rsid w:val="651843B7"/>
    <w:rsid w:val="671A7149"/>
    <w:rsid w:val="6DB30687"/>
    <w:rsid w:val="6F8C3791"/>
    <w:rsid w:val="708E5910"/>
    <w:rsid w:val="76910A96"/>
    <w:rsid w:val="77393BCB"/>
    <w:rsid w:val="77C02078"/>
    <w:rsid w:val="78EA6370"/>
    <w:rsid w:val="7A1524D6"/>
    <w:rsid w:val="7B7A39B4"/>
    <w:rsid w:val="7E8A62A7"/>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4</TotalTime>
  <ScaleCrop>false</ScaleCrop>
  <LinksUpToDate>false</LinksUpToDate>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孙海韵</cp:lastModifiedBy>
  <cp:lastPrinted>2024-07-29T07:59:36Z</cp:lastPrinted>
  <dcterms:modified xsi:type="dcterms:W3CDTF">2024-07-29T08:02:53Z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2052-11.8.2.10393</vt:lpwstr>
  </property>
  <property fmtid="{D5CDD505-2E9C-101B-9397-08002B2CF9AE}" pid="6" name="ICV">
    <vt:lpwstr>B3A24E0F221B451D840150C4BC23DACE</vt:lpwstr>
  </property>
</Properties>
</file>