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pacing w:line="600" w:lineRule="exact"/>
        <w:ind w:right="0"/>
        <w:jc w:val="left"/>
        <w:rPr>
          <w:rFonts w:ascii="Times New Roman" w:hAnsi="Times New Roman" w:eastAsia="方正小标宋_GBK"/>
          <w:bCs/>
          <w:color w:val="000000"/>
          <w:sz w:val="40"/>
          <w:szCs w:val="40"/>
        </w:rPr>
      </w:pPr>
    </w:p>
    <w:p>
      <w:pPr>
        <w:spacing w:line="600" w:lineRule="exact"/>
        <w:ind w:right="0"/>
        <w:jc w:val="center"/>
        <w:rPr>
          <w:rFonts w:ascii="Times New Roman" w:hAnsi="Times New Roman" w:eastAsia="方正小标宋_GBK"/>
          <w:bCs/>
          <w:color w:val="000000"/>
          <w:spacing w:val="-20"/>
          <w:sz w:val="44"/>
          <w:szCs w:val="44"/>
          <w:highlight w:val="none"/>
        </w:rPr>
      </w:pPr>
      <w:r>
        <w:rPr>
          <w:rFonts w:hint="eastAsia" w:ascii="Times New Roman" w:hAnsi="Times New Roman" w:eastAsia="方正小标宋_GBK"/>
          <w:bCs/>
          <w:color w:val="000000"/>
          <w:spacing w:val="-20"/>
          <w:sz w:val="44"/>
          <w:szCs w:val="44"/>
          <w:highlight w:val="none"/>
        </w:rPr>
        <w:t>广州市花都区2024年度第七批次城镇建设用地（广州市白云国际机场噪音治理花都区保良北融资区项目〔一期〕）</w:t>
      </w:r>
      <w:r>
        <w:rPr>
          <w:rFonts w:ascii="Times New Roman" w:hAnsi="Times New Roman" w:eastAsia="方正小标宋_GBK"/>
          <w:bCs/>
          <w:color w:val="000000"/>
          <w:spacing w:val="-20"/>
          <w:sz w:val="44"/>
          <w:szCs w:val="44"/>
          <w:highlight w:val="none"/>
        </w:rPr>
        <w:t>项目被征地</w:t>
      </w:r>
    </w:p>
    <w:p>
      <w:pPr>
        <w:spacing w:line="600" w:lineRule="exact"/>
        <w:ind w:right="0"/>
        <w:jc w:val="center"/>
        <w:rPr>
          <w:rFonts w:ascii="Times New Roman" w:hAnsi="Times New Roman" w:eastAsia="仿宋_GB2312"/>
          <w:spacing w:val="-20"/>
          <w:sz w:val="28"/>
          <w:szCs w:val="28"/>
          <w:highlight w:val="none"/>
        </w:rPr>
      </w:pPr>
      <w:r>
        <w:rPr>
          <w:rFonts w:ascii="Times New Roman" w:hAnsi="Times New Roman" w:eastAsia="方正小标宋_GBK"/>
          <w:bCs/>
          <w:color w:val="000000"/>
          <w:spacing w:val="-20"/>
          <w:sz w:val="44"/>
          <w:szCs w:val="44"/>
          <w:highlight w:val="none"/>
        </w:rPr>
        <w:t>农民养老保障方案</w:t>
      </w:r>
    </w:p>
    <w:p>
      <w:pPr>
        <w:spacing w:line="560" w:lineRule="exact"/>
        <w:ind w:right="-14" w:firstLine="640" w:firstLineChars="2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w:t>
      </w:r>
      <w:r>
        <w:rPr>
          <w:rFonts w:hint="eastAsia" w:ascii="Times New Roman" w:hAnsi="Times New Roman" w:eastAsia="仿宋_GB2312"/>
          <w:sz w:val="32"/>
          <w:szCs w:val="32"/>
          <w:lang w:eastAsia="zh-CN"/>
        </w:rPr>
        <w:t>关于进一步完善</w:t>
      </w:r>
      <w:r>
        <w:rPr>
          <w:rFonts w:ascii="Times New Roman" w:hAnsi="Times New Roman" w:eastAsia="仿宋_GB2312"/>
          <w:sz w:val="32"/>
          <w:szCs w:val="32"/>
        </w:rPr>
        <w:t>我省被征地农民养老保障政策意见的通知》（穗府办规〔2022〕3号）</w:t>
      </w:r>
      <w:r>
        <w:rPr>
          <w:rFonts w:hint="eastAsia" w:ascii="Times New Roman" w:hAnsi="Times New Roman" w:eastAsia="仿宋_GB2312"/>
          <w:sz w:val="32"/>
          <w:szCs w:val="32"/>
          <w:lang w:eastAsia="zh-CN"/>
        </w:rPr>
        <w:t>等</w:t>
      </w:r>
      <w:r>
        <w:rPr>
          <w:rFonts w:ascii="Times New Roman" w:hAnsi="Times New Roman" w:eastAsia="仿宋_GB2312"/>
          <w:sz w:val="32"/>
          <w:szCs w:val="32"/>
        </w:rPr>
        <w:t>有关规定，拟定</w:t>
      </w:r>
      <w:r>
        <w:rPr>
          <w:rFonts w:hint="eastAsia" w:ascii="Times New Roman" w:hAnsi="Times New Roman" w:eastAsia="仿宋_GB2312"/>
          <w:sz w:val="32"/>
          <w:szCs w:val="32"/>
          <w:lang w:eastAsia="zh-CN"/>
        </w:rPr>
        <w:t>广州市花都区2024年度第七批次城镇建设用地（</w:t>
      </w:r>
      <w:r>
        <w:rPr>
          <w:rFonts w:hint="eastAsia" w:ascii="Times New Roman" w:hAnsi="Times New Roman" w:eastAsia="仿宋_GB2312"/>
          <w:sz w:val="32"/>
          <w:szCs w:val="32"/>
          <w:lang w:val="en-US" w:eastAsia="zh-CN"/>
        </w:rPr>
        <w:t>广州市白云国际机场噪音治理花都区保良北融资区项目</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一期</w:t>
      </w:r>
      <w:r>
        <w:rPr>
          <w:rFonts w:ascii="Times New Roman" w:hAnsi="Times New Roman" w:eastAsia="仿宋_GB2312"/>
          <w:sz w:val="32"/>
          <w:szCs w:val="32"/>
        </w:rPr>
        <w:t>〕）被征地农民养老保障方案如下：</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outlineLvl w:val="9"/>
        <w:rPr>
          <w:rFonts w:ascii="Times New Roman" w:hAnsi="Times New Roman" w:eastAsia="黑体"/>
          <w:b w:val="0"/>
          <w:bCs/>
          <w:kern w:val="0"/>
          <w:sz w:val="32"/>
          <w:szCs w:val="32"/>
          <w:shd w:val="clear" w:color="auto" w:fill="FFFFFF"/>
          <w:lang w:bidi="ar"/>
        </w:rPr>
      </w:pPr>
      <w:r>
        <w:rPr>
          <w:rFonts w:ascii="Times New Roman" w:hAnsi="Times New Roman" w:eastAsia="黑体"/>
          <w:b w:val="0"/>
          <w:bCs/>
          <w:kern w:val="0"/>
          <w:sz w:val="32"/>
          <w:szCs w:val="32"/>
          <w:shd w:val="clear" w:color="auto" w:fill="FFFFFF"/>
          <w:lang w:bidi="ar"/>
        </w:rPr>
        <w:t>一、对</w:t>
      </w:r>
      <w:r>
        <w:rPr>
          <w:rFonts w:hint="eastAsia" w:ascii="Times New Roman" w:hAnsi="Times New Roman" w:eastAsia="黑体"/>
          <w:b w:val="0"/>
          <w:bCs/>
          <w:kern w:val="0"/>
          <w:sz w:val="32"/>
          <w:szCs w:val="32"/>
          <w:shd w:val="clear" w:color="auto" w:fill="FFFFFF"/>
          <w:lang w:eastAsia="zh-CN" w:bidi="ar"/>
        </w:rPr>
        <w:t>广州市花都区2024年度第七批次城镇建设用地（广州市白云国际机场噪音治理花都区保良北融资区项目〔一期〕）</w:t>
      </w:r>
      <w:r>
        <w:rPr>
          <w:rFonts w:ascii="Times New Roman" w:hAnsi="Times New Roman" w:eastAsia="黑体"/>
          <w:b w:val="0"/>
          <w:bCs/>
          <w:kern w:val="0"/>
          <w:sz w:val="32"/>
          <w:szCs w:val="32"/>
          <w:shd w:val="clear" w:color="auto" w:fill="FFFFFF"/>
          <w:lang w:bidi="ar"/>
        </w:rPr>
        <w:t>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600" w:lineRule="exact"/>
        <w:ind w:right="-14" w:firstLine="640" w:firstLineChars="200"/>
        <w:textAlignment w:val="auto"/>
        <w:outlineLvl w:val="9"/>
        <w:rPr>
          <w:rFonts w:hint="eastAsia" w:ascii="Times New Roman" w:hAnsi="Times New Roman" w:eastAsia="仿宋_GB2312"/>
          <w:sz w:val="32"/>
          <w:szCs w:val="32"/>
          <w:lang w:val="en-US" w:eastAsia="zh-CN"/>
        </w:rPr>
      </w:pPr>
      <w:r>
        <w:rPr>
          <w:rFonts w:ascii="Times New Roman" w:hAnsi="Times New Roman" w:eastAsia="黑体"/>
          <w:bCs/>
          <w:kern w:val="0"/>
          <w:sz w:val="32"/>
          <w:szCs w:val="32"/>
          <w:shd w:val="clear" w:color="auto" w:fill="FFFFFF"/>
          <w:lang w:bidi="ar"/>
        </w:rPr>
        <w:t>二、征地社保费筹集。</w:t>
      </w:r>
      <w:r>
        <w:rPr>
          <w:rFonts w:ascii="Times New Roman" w:hAnsi="Times New Roman" w:eastAsia="仿宋_GB2312"/>
          <w:sz w:val="32"/>
          <w:szCs w:val="32"/>
        </w:rPr>
        <w:t>依据</w:t>
      </w:r>
      <w:r>
        <w:rPr>
          <w:rFonts w:hint="eastAsia" w:ascii="Times New Roman" w:hAnsi="Times New Roman" w:eastAsia="仿宋_GB2312"/>
          <w:sz w:val="32"/>
          <w:szCs w:val="32"/>
          <w:lang w:val="en-US" w:eastAsia="zh-CN"/>
        </w:rPr>
        <w:t>市规划和自然资源局花都区分局</w:t>
      </w:r>
      <w:r>
        <w:rPr>
          <w:rFonts w:ascii="Times New Roman" w:hAnsi="Times New Roman" w:eastAsia="仿宋_GB2312"/>
          <w:sz w:val="32"/>
          <w:szCs w:val="32"/>
        </w:rPr>
        <w:t>提供情况，</w:t>
      </w:r>
      <w:r>
        <w:rPr>
          <w:rFonts w:hint="eastAsia" w:ascii="Times New Roman" w:hAnsi="Times New Roman" w:eastAsia="仿宋_GB2312"/>
          <w:sz w:val="32"/>
          <w:szCs w:val="32"/>
          <w:lang w:val="en-US" w:eastAsia="zh-CN"/>
        </w:rPr>
        <w:t>该项目</w:t>
      </w:r>
      <w:r>
        <w:rPr>
          <w:rFonts w:ascii="Times New Roman" w:hAnsi="Times New Roman" w:eastAsia="仿宋_GB2312"/>
          <w:sz w:val="32"/>
          <w:szCs w:val="32"/>
        </w:rPr>
        <w:t>征收我区</w:t>
      </w:r>
      <w:r>
        <w:rPr>
          <w:rFonts w:hint="eastAsia" w:ascii="Times New Roman" w:hAnsi="Times New Roman" w:eastAsia="仿宋_GB2312"/>
          <w:sz w:val="32"/>
          <w:szCs w:val="32"/>
          <w:lang w:val="en-US" w:eastAsia="zh-CN"/>
        </w:rPr>
        <w:t>花东镇保良村、大塘村、石角村</w:t>
      </w:r>
      <w:r>
        <w:rPr>
          <w:rFonts w:ascii="Times New Roman" w:hAnsi="Times New Roman" w:eastAsia="仿宋_GB2312"/>
          <w:sz w:val="32"/>
          <w:szCs w:val="32"/>
        </w:rPr>
        <w:t>土地面积共</w:t>
      </w:r>
      <w:r>
        <w:rPr>
          <w:rFonts w:hint="eastAsia" w:ascii="Times New Roman" w:hAnsi="Times New Roman" w:eastAsia="仿宋_GB2312"/>
          <w:sz w:val="32"/>
          <w:szCs w:val="32"/>
          <w:lang w:val="en-US" w:eastAsia="zh-CN"/>
        </w:rPr>
        <w:t>29.8995</w:t>
      </w:r>
      <w:r>
        <w:rPr>
          <w:rFonts w:ascii="Times New Roman" w:hAnsi="Times New Roman" w:eastAsia="仿宋_GB2312"/>
          <w:sz w:val="32"/>
          <w:szCs w:val="32"/>
        </w:rPr>
        <w:t>亩，其中0</w:t>
      </w:r>
      <w:r>
        <w:rPr>
          <w:rFonts w:hint="eastAsia" w:ascii="Times New Roman" w:hAnsi="Times New Roman" w:eastAsia="仿宋_GB2312"/>
          <w:sz w:val="32"/>
          <w:szCs w:val="32"/>
          <w:lang w:val="en-US" w:eastAsia="zh-CN"/>
        </w:rPr>
        <w:t>.1860</w:t>
      </w:r>
      <w:r>
        <w:rPr>
          <w:rFonts w:ascii="Times New Roman" w:hAnsi="Times New Roman" w:eastAsia="仿宋_GB2312"/>
          <w:sz w:val="32"/>
          <w:szCs w:val="32"/>
        </w:rPr>
        <w:t>亩属于农村集体经济组织留用地，征地双方于2023年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全部</w:t>
      </w:r>
      <w:r>
        <w:rPr>
          <w:rFonts w:ascii="Times New Roman" w:hAnsi="Times New Roman" w:eastAsia="仿宋_GB2312"/>
          <w:sz w:val="32"/>
          <w:szCs w:val="32"/>
        </w:rPr>
        <w:t>完成征收补偿</w:t>
      </w:r>
      <w:r>
        <w:rPr>
          <w:rFonts w:hint="eastAsia" w:ascii="Times New Roman" w:hAnsi="Times New Roman" w:eastAsia="仿宋_GB2312"/>
          <w:sz w:val="32"/>
          <w:szCs w:val="32"/>
          <w:lang w:val="en-US" w:eastAsia="zh-CN"/>
        </w:rPr>
        <w:t>安置</w:t>
      </w:r>
      <w:r>
        <w:rPr>
          <w:rFonts w:ascii="Times New Roman" w:hAnsi="Times New Roman" w:eastAsia="仿宋_GB2312"/>
          <w:sz w:val="32"/>
          <w:szCs w:val="32"/>
        </w:rPr>
        <w:t>协议签订。该项目征地社保费应按</w:t>
      </w:r>
      <w:r>
        <w:rPr>
          <w:rFonts w:hint="eastAsia" w:ascii="Times New Roman" w:hAnsi="Times New Roman" w:eastAsia="仿宋_GB2312"/>
          <w:sz w:val="32"/>
          <w:szCs w:val="32"/>
          <w:lang w:val="en-US" w:eastAsia="zh-CN"/>
        </w:rPr>
        <w:t>2.14</w:t>
      </w:r>
      <w:r>
        <w:rPr>
          <w:rFonts w:ascii="Times New Roman" w:hAnsi="Times New Roman" w:eastAsia="仿宋_GB2312"/>
          <w:sz w:val="32"/>
          <w:szCs w:val="32"/>
        </w:rPr>
        <w:t>万元/亩的标准计提（</w:t>
      </w:r>
      <w:r>
        <w:rPr>
          <w:rFonts w:hint="eastAsia" w:ascii="Times New Roman" w:hAnsi="Times New Roman" w:eastAsia="仿宋_GB2312"/>
          <w:sz w:val="32"/>
          <w:szCs w:val="32"/>
        </w:rPr>
        <w:t>即征地补偿安置方案制定时，花都区平均每亩征收农用地区片综合地价13.33万元／亩的16%</w:t>
      </w:r>
      <w:r>
        <w:rPr>
          <w:rFonts w:hint="eastAsia" w:ascii="Times New Roman" w:hAnsi="Times New Roman" w:eastAsia="仿宋_GB2312"/>
          <w:sz w:val="32"/>
          <w:szCs w:val="32"/>
          <w:lang w:eastAsia="zh-CN"/>
        </w:rPr>
        <w:t>）</w:t>
      </w:r>
      <w:r>
        <w:rPr>
          <w:rFonts w:ascii="Times New Roman" w:hAnsi="Times New Roman" w:eastAsia="仿宋_GB2312"/>
          <w:sz w:val="32"/>
          <w:szCs w:val="32"/>
        </w:rPr>
        <w:t>，需计提资金</w:t>
      </w:r>
      <w:r>
        <w:rPr>
          <w:rFonts w:hint="eastAsia" w:ascii="Times New Roman" w:hAnsi="Times New Roman" w:eastAsia="仿宋_GB2312"/>
          <w:sz w:val="32"/>
          <w:szCs w:val="32"/>
        </w:rPr>
        <w:t>63.61</w:t>
      </w:r>
      <w:r>
        <w:rPr>
          <w:rFonts w:ascii="Times New Roman" w:hAnsi="Times New Roman" w:eastAsia="仿宋_GB2312"/>
          <w:sz w:val="32"/>
          <w:szCs w:val="32"/>
        </w:rPr>
        <w:t>万元由征地主体（用地单位）</w:t>
      </w:r>
      <w:r>
        <w:rPr>
          <w:rFonts w:hint="eastAsia" w:ascii="Times New Roman" w:hAnsi="Times New Roman" w:eastAsia="仿宋_GB2312"/>
          <w:sz w:val="32"/>
          <w:szCs w:val="32"/>
        </w:rPr>
        <w:t>一次性预存入花都区社会保险基金管理办公室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收缴被征地农民养老保障资金过渡户</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仿宋_GB2312"/>
          <w:sz w:val="32"/>
          <w:szCs w:val="32"/>
        </w:rPr>
        <w:t>中国建设银行广州市绿色金融改革创新试验区花都分行，44050155150100002584</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bCs/>
          <w:kern w:val="0"/>
          <w:sz w:val="32"/>
          <w:szCs w:val="32"/>
          <w:shd w:val="clear" w:color="auto" w:fill="FFFFFF"/>
          <w:lang w:bidi="ar"/>
        </w:rPr>
        <w:t>三、征地社保费补贴对象。</w:t>
      </w:r>
      <w:r>
        <w:rPr>
          <w:rFonts w:ascii="Times New Roman" w:hAnsi="Times New Roman" w:eastAsia="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黑体"/>
          <w:bCs/>
          <w:kern w:val="0"/>
          <w:sz w:val="32"/>
          <w:szCs w:val="32"/>
          <w:shd w:val="clear" w:color="auto" w:fill="FFFFFF"/>
          <w:lang w:bidi="ar"/>
        </w:rPr>
        <w:t>四、征地社保费发放。</w:t>
      </w:r>
      <w:r>
        <w:rPr>
          <w:rFonts w:hint="eastAsia" w:ascii="Times New Roman" w:hAnsi="Times New Roman" w:eastAsia="仿宋_GB2312"/>
          <w:sz w:val="32"/>
          <w:szCs w:val="32"/>
        </w:rPr>
        <w:t>一是征地社保费与征地安置补偿费同期拨付。征地实施部门在拟发放征地安置补助费时，应告知同级人力资源社会保障部门和征地项目所在乡镇人民政府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街道办事处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。乡镇人民政府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街道办事处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牵头组织被征地农户在15个工作日内按时提供具体参保人员名单和分配金额。被征地农户未按时提供的，由乡镇人民政府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街道办事处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按被征地农户的16周岁以上人口平均分配资金原则确定参保人员名单和分配金额，送所属人力资源社会保障部门办理社保手续。</w:t>
      </w:r>
      <w:r>
        <w:rPr>
          <w:rFonts w:ascii="Times New Roman" w:hAnsi="Times New Roman" w:eastAsia="仿宋_GB2312"/>
          <w:sz w:val="32"/>
          <w:szCs w:val="32"/>
        </w:rPr>
        <w:t>二是符合条件</w:t>
      </w:r>
      <w:r>
        <w:rPr>
          <w:rFonts w:hint="eastAsia" w:ascii="Times New Roman" w:hAnsi="Times New Roman" w:eastAsia="仿宋_GB2312"/>
          <w:sz w:val="32"/>
          <w:szCs w:val="32"/>
        </w:rPr>
        <w:t>的被征地农民按规定享受征地社保补贴，一次性划入其城乡居民养老保险个人账户，不计算实际缴费年限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其中已领取城镇职工基本养老金的，一次性支付个人。</w:t>
      </w:r>
    </w:p>
    <w:p>
      <w:pPr>
        <w:keepNext w:val="0"/>
        <w:keepLines w:val="0"/>
        <w:pageBreakBefore w:val="0"/>
        <w:widowControl w:val="0"/>
        <w:tabs>
          <w:tab w:val="left" w:pos="5402"/>
        </w:tabs>
        <w:kinsoku/>
        <w:wordWrap/>
        <w:overflowPunct/>
        <w:topLinePunct w:val="0"/>
        <w:autoSpaceDE/>
        <w:autoSpaceDN/>
        <w:bidi w:val="0"/>
        <w:adjustRightInd/>
        <w:snapToGrid/>
        <w:spacing w:line="600" w:lineRule="exact"/>
        <w:ind w:firstLine="0" w:firstLineChars="0"/>
        <w:textAlignment w:val="auto"/>
        <w:outlineLvl w:val="9"/>
        <w:rPr>
          <w:rFonts w:ascii="Times New Roman" w:hAnsi="Times New Roman" w:eastAsia="仿宋_GB2312"/>
          <w:sz w:val="32"/>
          <w:szCs w:val="32"/>
        </w:rPr>
      </w:pPr>
    </w:p>
    <w:p>
      <w:pPr>
        <w:keepNext w:val="0"/>
        <w:keepLines w:val="0"/>
        <w:pageBreakBefore w:val="0"/>
        <w:widowControl w:val="0"/>
        <w:tabs>
          <w:tab w:val="left" w:pos="5402"/>
        </w:tabs>
        <w:kinsoku/>
        <w:wordWrap/>
        <w:overflowPunct/>
        <w:topLinePunct w:val="0"/>
        <w:autoSpaceDE/>
        <w:autoSpaceDN/>
        <w:bidi w:val="0"/>
        <w:adjustRightInd/>
        <w:snapToGrid/>
        <w:spacing w:line="600" w:lineRule="exact"/>
        <w:ind w:left="1380" w:leftChars="200" w:hanging="960" w:hangingChars="300"/>
        <w:textAlignment w:val="auto"/>
        <w:outlineLvl w:val="9"/>
        <w:rPr>
          <w:rFonts w:ascii="Times New Roman" w:hAnsi="Times New Roman" w:eastAsia="仿宋_GB2312"/>
          <w:sz w:val="32"/>
          <w:szCs w:val="32"/>
        </w:rPr>
      </w:pPr>
      <w:r>
        <w:rPr>
          <w:rFonts w:ascii="Times New Roman" w:hAnsi="Times New Roman" w:eastAsia="仿宋_GB2312"/>
          <w:sz w:val="32"/>
          <w:szCs w:val="32"/>
        </w:rPr>
        <w:t>附表：征收土地及养老保障情况表</w:t>
      </w:r>
    </w:p>
    <w:p>
      <w:pPr>
        <w:ind w:firstLine="480" w:firstLineChars="200"/>
        <w:rPr>
          <w:rFonts w:ascii="Times New Roman" w:hAnsi="Times New Roman" w:eastAsia="仿宋_GB2312"/>
          <w:sz w:val="24"/>
          <w:szCs w:val="32"/>
        </w:rPr>
      </w:pPr>
    </w:p>
    <w:p>
      <w:pPr>
        <w:ind w:firstLine="480" w:firstLineChars="200"/>
        <w:rPr>
          <w:rFonts w:ascii="Times New Roman" w:hAnsi="Times New Roman" w:eastAsia="仿宋_GB2312"/>
          <w:sz w:val="24"/>
          <w:szCs w:val="32"/>
        </w:rPr>
      </w:pPr>
    </w:p>
    <w:p>
      <w:pPr>
        <w:ind w:firstLine="480" w:firstLineChars="200"/>
        <w:rPr>
          <w:rFonts w:ascii="Times New Roman" w:hAnsi="Times New Roman" w:eastAsia="仿宋_GB2312"/>
          <w:sz w:val="24"/>
          <w:szCs w:val="32"/>
        </w:rPr>
      </w:pPr>
    </w:p>
    <w:p>
      <w:pPr>
        <w:ind w:firstLine="480" w:firstLineChars="200"/>
        <w:rPr>
          <w:rFonts w:ascii="Times New Roman" w:hAnsi="Times New Roman" w:eastAsia="仿宋_GB2312"/>
          <w:sz w:val="24"/>
          <w:szCs w:val="32"/>
        </w:rPr>
      </w:pPr>
    </w:p>
    <w:p>
      <w:pPr>
        <w:ind w:firstLine="480" w:firstLineChars="200"/>
        <w:rPr>
          <w:rFonts w:ascii="Times New Roman" w:hAnsi="Times New Roman" w:eastAsia="仿宋_GB2312"/>
          <w:sz w:val="24"/>
          <w:szCs w:val="32"/>
        </w:rPr>
      </w:pPr>
    </w:p>
    <w:p>
      <w:pPr>
        <w:ind w:firstLine="480" w:firstLineChars="200"/>
        <w:rPr>
          <w:rFonts w:ascii="Times New Roman" w:hAnsi="Times New Roman" w:eastAsia="仿宋_GB2312"/>
          <w:sz w:val="24"/>
          <w:szCs w:val="32"/>
        </w:rPr>
      </w:pPr>
    </w:p>
    <w:p>
      <w:r>
        <w:br w:type="page"/>
      </w:r>
    </w:p>
    <w:p>
      <w:pPr>
        <w:rPr>
          <w:rFonts w:ascii="Times New Roman" w:hAnsi="Times New Roman" w:eastAsia="黑体"/>
          <w:sz w:val="32"/>
          <w:szCs w:val="32"/>
        </w:rPr>
      </w:pPr>
      <w:r>
        <w:rPr>
          <w:rFonts w:ascii="Times New Roman" w:hAnsi="Times New Roman" w:eastAsia="黑体"/>
          <w:sz w:val="32"/>
          <w:szCs w:val="32"/>
        </w:rPr>
        <w:t>附表</w:t>
      </w:r>
    </w:p>
    <w:p>
      <w:pPr>
        <w:spacing w:line="600" w:lineRule="exact"/>
        <w:ind w:right="210"/>
        <w:jc w:val="center"/>
        <w:rPr>
          <w:rFonts w:ascii="Times New Roman" w:hAnsi="Times New Roman" w:eastAsia="方正小标宋简体"/>
          <w:b/>
          <w:bCs/>
          <w:sz w:val="44"/>
          <w:szCs w:val="44"/>
        </w:rPr>
      </w:pPr>
    </w:p>
    <w:p>
      <w:pPr>
        <w:spacing w:line="600" w:lineRule="exact"/>
        <w:ind w:right="0"/>
        <w:jc w:val="center"/>
        <w:rPr>
          <w:rFonts w:ascii="Times New Roman" w:hAnsi="Times New Roman" w:eastAsia="方正小标宋_GBK"/>
          <w:bCs/>
          <w:color w:val="auto"/>
          <w:sz w:val="44"/>
          <w:szCs w:val="44"/>
        </w:rPr>
      </w:pPr>
      <w:r>
        <w:rPr>
          <w:rFonts w:ascii="Times New Roman" w:hAnsi="Times New Roman" w:eastAsia="方正小标宋_GBK"/>
          <w:bCs/>
          <w:color w:val="auto"/>
          <w:sz w:val="44"/>
          <w:szCs w:val="44"/>
        </w:rPr>
        <w:t>征收土地及养老保障情况表</w:t>
      </w:r>
    </w:p>
    <w:p>
      <w:pPr>
        <w:rPr>
          <w:rFonts w:ascii="Times New Roman" w:hAnsi="Times New Roman" w:eastAsia="方正小标宋简体"/>
          <w:sz w:val="44"/>
          <w:szCs w:val="44"/>
        </w:rPr>
      </w:pPr>
    </w:p>
    <w:p>
      <w:pPr>
        <w:spacing w:line="600" w:lineRule="exact"/>
        <w:ind w:right="770"/>
        <w:jc w:val="right"/>
        <w:rPr>
          <w:rFonts w:ascii="Times New Roman" w:hAnsi="Times New Roman" w:eastAsia="仿宋_GB2312"/>
          <w:sz w:val="28"/>
          <w:szCs w:val="28"/>
        </w:rPr>
      </w:pPr>
      <w:r>
        <w:rPr>
          <w:rFonts w:ascii="Times New Roman" w:hAnsi="Times New Roman" w:eastAsia="仿宋_GB2312"/>
          <w:sz w:val="28"/>
          <w:szCs w:val="28"/>
        </w:rPr>
        <w:t>单位：亩、万元</w:t>
      </w:r>
    </w:p>
    <w:tbl>
      <w:tblPr>
        <w:tblStyle w:val="6"/>
        <w:tblW w:w="5016"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821"/>
        <w:gridCol w:w="2848"/>
        <w:gridCol w:w="1487"/>
        <w:gridCol w:w="1419"/>
        <w:gridCol w:w="176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2198" w:type="pct"/>
            <w:gridSpan w:val="2"/>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被征地单位</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征收土地面积</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其中属于被征地单位留用地面积</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restart"/>
            <w:tcBorders>
              <w:top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花东镇</w:t>
            </w: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rPr>
              <w:t>保良村第六经济合作社</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rPr>
              <w:t>0.0015</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0.01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continue"/>
            <w:tcBorders>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保良村第七经济合作社</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3.63</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7.77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continue"/>
            <w:tcBorders>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保良村第五经济合作社 </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rPr>
              <w:t>1.7595</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3.77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continue"/>
            <w:tcBorders>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 大塘村第一经济合作社</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1.08</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2.32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continue"/>
            <w:tcBorders>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 大塘村经济联合社</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rPr>
              <w:t>23.2605</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0.1860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49.38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92" w:type="pct"/>
            <w:vMerge w:val="continue"/>
            <w:tcBorders>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p>
        </w:tc>
        <w:tc>
          <w:tcPr>
            <w:tcW w:w="1706"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石角村第三经济合作社</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0.168</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0.36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2198" w:type="pct"/>
            <w:gridSpan w:val="2"/>
            <w:tcBorders>
              <w:top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ascii="Times New Roman" w:hAnsi="Times New Roman" w:eastAsia="仿宋_GB2312"/>
                <w:kern w:val="0"/>
                <w:sz w:val="24"/>
              </w:rPr>
              <w:t>合计</w:t>
            </w:r>
          </w:p>
        </w:tc>
        <w:tc>
          <w:tcPr>
            <w:tcW w:w="89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rPr>
              <w:t>29.8995</w:t>
            </w:r>
          </w:p>
        </w:tc>
        <w:tc>
          <w:tcPr>
            <w:tcW w:w="850" w:type="pc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25" w:leftChars="-12"/>
              <w:jc w:val="center"/>
              <w:rPr>
                <w:rFonts w:ascii="Times New Roman" w:hAnsi="Times New Roman" w:eastAsia="仿宋_GB2312"/>
                <w:kern w:val="0"/>
                <w:sz w:val="24"/>
              </w:rPr>
            </w:pPr>
            <w:r>
              <w:rPr>
                <w:rFonts w:hint="eastAsia" w:ascii="Times New Roman" w:hAnsi="Times New Roman" w:eastAsia="仿宋_GB2312"/>
                <w:kern w:val="0"/>
                <w:sz w:val="24"/>
                <w:lang w:val="en-US" w:eastAsia="zh-CN"/>
              </w:rPr>
              <w:t>0.1860</w:t>
            </w:r>
          </w:p>
        </w:tc>
        <w:tc>
          <w:tcPr>
            <w:tcW w:w="105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25" w:leftChars="-12"/>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63.61</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sz w:val="21"/>
          <w:szCs w:val="21"/>
        </w:rPr>
      </w:pPr>
      <w:r>
        <w:rPr>
          <w:rFonts w:hint="eastAsia" w:ascii="Times New Roman" w:hAnsi="Times New Roman" w:eastAsia="仿宋_GB2312"/>
          <w:sz w:val="21"/>
          <w:szCs w:val="21"/>
        </w:rPr>
        <w:t>备注：该项目按2.14万元</w:t>
      </w:r>
      <w:r>
        <w:rPr>
          <w:rFonts w:hint="eastAsia" w:ascii="Times New Roman" w:hAnsi="Times New Roman" w:eastAsia="仿宋_GB2312"/>
          <w:sz w:val="21"/>
          <w:szCs w:val="21"/>
          <w:lang w:val="en-US" w:eastAsia="zh-CN"/>
        </w:rPr>
        <w:t>/</w:t>
      </w:r>
      <w:r>
        <w:rPr>
          <w:rFonts w:hint="eastAsia" w:ascii="Times New Roman" w:hAnsi="Times New Roman" w:eastAsia="仿宋_GB2312"/>
          <w:sz w:val="21"/>
          <w:szCs w:val="21"/>
        </w:rPr>
        <w:t>亩的标准计提征地社保费，即：按征地补偿安置方案制定时，花都区平均每亩征收农用地区片综合地价13.33万元</w:t>
      </w:r>
      <w:r>
        <w:rPr>
          <w:rFonts w:hint="eastAsia" w:ascii="Times New Roman" w:hAnsi="Times New Roman" w:eastAsia="仿宋_GB2312"/>
          <w:sz w:val="21"/>
          <w:szCs w:val="21"/>
          <w:lang w:val="en-US" w:eastAsia="zh-CN"/>
        </w:rPr>
        <w:t>/</w:t>
      </w:r>
      <w:r>
        <w:rPr>
          <w:rFonts w:hint="eastAsia" w:ascii="Times New Roman" w:hAnsi="Times New Roman" w:eastAsia="仿宋_GB2312"/>
          <w:sz w:val="21"/>
          <w:szCs w:val="21"/>
        </w:rPr>
        <w:t>亩的16%。属于农村集体经济组织留用地的，按规定不计提征地社保费。</w:t>
      </w:r>
      <w:bookmarkStart w:id="0" w:name="_GoBack"/>
      <w:bookmarkEnd w:id="0"/>
    </w:p>
    <w:p>
      <w:pPr>
        <w:jc w:val="left"/>
      </w:pPr>
    </w:p>
    <w:sectPr>
      <w:pgSz w:w="11905" w:h="16838"/>
      <w:pgMar w:top="1440" w:right="1800" w:bottom="1440"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GRjMzQxNGQ2NDc4NDVhMzI5NjI3NjYwNDkzN2MifQ=="/>
  </w:docVars>
  <w:rsids>
    <w:rsidRoot w:val="00500810"/>
    <w:rsid w:val="000448C9"/>
    <w:rsid w:val="0042482F"/>
    <w:rsid w:val="00500810"/>
    <w:rsid w:val="005C141A"/>
    <w:rsid w:val="00833BA8"/>
    <w:rsid w:val="00DD5395"/>
    <w:rsid w:val="01907608"/>
    <w:rsid w:val="019224F8"/>
    <w:rsid w:val="01D803E5"/>
    <w:rsid w:val="02BC1AB4"/>
    <w:rsid w:val="02D3294D"/>
    <w:rsid w:val="031E304C"/>
    <w:rsid w:val="041A5EED"/>
    <w:rsid w:val="046F4F8A"/>
    <w:rsid w:val="049B1B20"/>
    <w:rsid w:val="053D42F8"/>
    <w:rsid w:val="06306B74"/>
    <w:rsid w:val="07036C71"/>
    <w:rsid w:val="0733227D"/>
    <w:rsid w:val="075A661E"/>
    <w:rsid w:val="07EB3C91"/>
    <w:rsid w:val="08386081"/>
    <w:rsid w:val="08AC45C3"/>
    <w:rsid w:val="09607E2D"/>
    <w:rsid w:val="09A31262"/>
    <w:rsid w:val="0AB17D93"/>
    <w:rsid w:val="0BDC3F34"/>
    <w:rsid w:val="0C7C6F98"/>
    <w:rsid w:val="0D190642"/>
    <w:rsid w:val="0DA9794C"/>
    <w:rsid w:val="0DCF4DF1"/>
    <w:rsid w:val="0DD83F13"/>
    <w:rsid w:val="0F5B4E47"/>
    <w:rsid w:val="12071A2D"/>
    <w:rsid w:val="12830715"/>
    <w:rsid w:val="12995D73"/>
    <w:rsid w:val="13FC3812"/>
    <w:rsid w:val="15144DFF"/>
    <w:rsid w:val="15D6297F"/>
    <w:rsid w:val="18776EDB"/>
    <w:rsid w:val="191014DB"/>
    <w:rsid w:val="1A8145EB"/>
    <w:rsid w:val="1AF07EDE"/>
    <w:rsid w:val="1C173992"/>
    <w:rsid w:val="1C1C4121"/>
    <w:rsid w:val="1E6C1F1E"/>
    <w:rsid w:val="1FB31785"/>
    <w:rsid w:val="1FB61559"/>
    <w:rsid w:val="1FC10199"/>
    <w:rsid w:val="20450046"/>
    <w:rsid w:val="207351F3"/>
    <w:rsid w:val="24101808"/>
    <w:rsid w:val="255F66A1"/>
    <w:rsid w:val="275724FF"/>
    <w:rsid w:val="284C0588"/>
    <w:rsid w:val="29502B46"/>
    <w:rsid w:val="2B033EB9"/>
    <w:rsid w:val="2B2E7125"/>
    <w:rsid w:val="2BCC55B5"/>
    <w:rsid w:val="2CEE6916"/>
    <w:rsid w:val="2F324D29"/>
    <w:rsid w:val="300C0F80"/>
    <w:rsid w:val="307F3F9D"/>
    <w:rsid w:val="31035D16"/>
    <w:rsid w:val="3211612E"/>
    <w:rsid w:val="32490CAE"/>
    <w:rsid w:val="32A73A93"/>
    <w:rsid w:val="32BC57B2"/>
    <w:rsid w:val="330E017F"/>
    <w:rsid w:val="335A3B82"/>
    <w:rsid w:val="33A76AD1"/>
    <w:rsid w:val="347906CE"/>
    <w:rsid w:val="349034E4"/>
    <w:rsid w:val="34FB5395"/>
    <w:rsid w:val="35824612"/>
    <w:rsid w:val="35DF1718"/>
    <w:rsid w:val="365B0478"/>
    <w:rsid w:val="36E0150E"/>
    <w:rsid w:val="381B1914"/>
    <w:rsid w:val="3A294036"/>
    <w:rsid w:val="3A425D10"/>
    <w:rsid w:val="3A5938B0"/>
    <w:rsid w:val="3B547696"/>
    <w:rsid w:val="3BF1702F"/>
    <w:rsid w:val="3CA97EC6"/>
    <w:rsid w:val="3D580C5D"/>
    <w:rsid w:val="3DF14C86"/>
    <w:rsid w:val="3F0D2F26"/>
    <w:rsid w:val="402C1FC9"/>
    <w:rsid w:val="402F251E"/>
    <w:rsid w:val="40765BDD"/>
    <w:rsid w:val="416345F7"/>
    <w:rsid w:val="41B70EE5"/>
    <w:rsid w:val="41B9632D"/>
    <w:rsid w:val="42462FEC"/>
    <w:rsid w:val="4261422D"/>
    <w:rsid w:val="42A8738C"/>
    <w:rsid w:val="43A22E41"/>
    <w:rsid w:val="44E757FE"/>
    <w:rsid w:val="45FE60DA"/>
    <w:rsid w:val="465D33FD"/>
    <w:rsid w:val="46A92AF0"/>
    <w:rsid w:val="472473E6"/>
    <w:rsid w:val="4777279A"/>
    <w:rsid w:val="47901D5D"/>
    <w:rsid w:val="48C049B9"/>
    <w:rsid w:val="496947E1"/>
    <w:rsid w:val="4A800D3B"/>
    <w:rsid w:val="4C3F658F"/>
    <w:rsid w:val="4C581958"/>
    <w:rsid w:val="4C5C65EC"/>
    <w:rsid w:val="4D073D2A"/>
    <w:rsid w:val="4D9F7FC5"/>
    <w:rsid w:val="4E60002E"/>
    <w:rsid w:val="4E771544"/>
    <w:rsid w:val="4EC41C65"/>
    <w:rsid w:val="52025AE9"/>
    <w:rsid w:val="522E2CD6"/>
    <w:rsid w:val="523A6921"/>
    <w:rsid w:val="52826EE4"/>
    <w:rsid w:val="52970329"/>
    <w:rsid w:val="53EF7801"/>
    <w:rsid w:val="542A7ADD"/>
    <w:rsid w:val="558570B1"/>
    <w:rsid w:val="559A1DE8"/>
    <w:rsid w:val="55C21DE1"/>
    <w:rsid w:val="57054DF2"/>
    <w:rsid w:val="576F03AF"/>
    <w:rsid w:val="582A0D9F"/>
    <w:rsid w:val="582E0BB0"/>
    <w:rsid w:val="58764F48"/>
    <w:rsid w:val="58B15DFD"/>
    <w:rsid w:val="591566E9"/>
    <w:rsid w:val="5A9855CA"/>
    <w:rsid w:val="5AA5325E"/>
    <w:rsid w:val="5AC66140"/>
    <w:rsid w:val="5B5A42ED"/>
    <w:rsid w:val="5CB378F7"/>
    <w:rsid w:val="5E836D11"/>
    <w:rsid w:val="5F1D4E79"/>
    <w:rsid w:val="60B84A57"/>
    <w:rsid w:val="61307570"/>
    <w:rsid w:val="624C44DA"/>
    <w:rsid w:val="62C64FB7"/>
    <w:rsid w:val="62D679A3"/>
    <w:rsid w:val="63A66A5D"/>
    <w:rsid w:val="63B24676"/>
    <w:rsid w:val="63BC0D27"/>
    <w:rsid w:val="65366619"/>
    <w:rsid w:val="689E723C"/>
    <w:rsid w:val="689F5C0A"/>
    <w:rsid w:val="68A53797"/>
    <w:rsid w:val="6A2537DE"/>
    <w:rsid w:val="6AAE6CD6"/>
    <w:rsid w:val="6AEE0C5D"/>
    <w:rsid w:val="6B3E3B32"/>
    <w:rsid w:val="6B50502E"/>
    <w:rsid w:val="6BFA1D49"/>
    <w:rsid w:val="6CA607CB"/>
    <w:rsid w:val="6CE35978"/>
    <w:rsid w:val="6CF769DD"/>
    <w:rsid w:val="6DD3095D"/>
    <w:rsid w:val="6EFD4940"/>
    <w:rsid w:val="6F0530AF"/>
    <w:rsid w:val="715E6CAB"/>
    <w:rsid w:val="73140E07"/>
    <w:rsid w:val="744C549C"/>
    <w:rsid w:val="74A21414"/>
    <w:rsid w:val="74B76E94"/>
    <w:rsid w:val="75796AF4"/>
    <w:rsid w:val="75B6662A"/>
    <w:rsid w:val="77D5273D"/>
    <w:rsid w:val="786E0936"/>
    <w:rsid w:val="789B7701"/>
    <w:rsid w:val="795963C7"/>
    <w:rsid w:val="79C44C41"/>
    <w:rsid w:val="7A031D70"/>
    <w:rsid w:val="7A954A05"/>
    <w:rsid w:val="7AA432BC"/>
    <w:rsid w:val="7AFE61F7"/>
    <w:rsid w:val="7BC47B7C"/>
    <w:rsid w:val="7BDD4609"/>
    <w:rsid w:val="7C17245F"/>
    <w:rsid w:val="7C3E7E36"/>
    <w:rsid w:val="7CB04D7C"/>
    <w:rsid w:val="7CBF7B20"/>
    <w:rsid w:val="7D26180D"/>
    <w:rsid w:val="7E4C28CF"/>
    <w:rsid w:val="7E8D7F4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 w:type="paragraph" w:styleId="4">
    <w:name w:val="Balloon Text"/>
    <w:basedOn w:val="1"/>
    <w:link w:val="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character" w:customStyle="1" w:styleId="8">
    <w:name w:val="批注框文本 字符"/>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5319</Words>
  <Characters>5877</Characters>
  <Lines>14</Lines>
  <Paragraphs>4</Paragraphs>
  <TotalTime>6</TotalTime>
  <ScaleCrop>false</ScaleCrop>
  <LinksUpToDate>false</LinksUpToDate>
  <CharactersWithSpaces>5893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Administrator</cp:lastModifiedBy>
  <dcterms:modified xsi:type="dcterms:W3CDTF">2024-04-23T02:56:17Z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7C3EDDE44635452AB377D949E7A027DE_13</vt:lpwstr>
  </property>
</Properties>
</file>