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kern w:val="2"/>
          <w:sz w:val="28"/>
          <w:szCs w:val="28"/>
          <w:lang w:eastAsia="zh-CN"/>
        </w:rPr>
      </w:pPr>
    </w:p>
    <w:p>
      <w:pPr>
        <w:jc w:val="center"/>
        <w:rPr>
          <w:rFonts w:ascii="Times New Roman" w:hAnsi="Times New Roman" w:eastAsia="宋体" w:cs="Times New Roman"/>
          <w:kern w:val="2"/>
          <w:sz w:val="28"/>
          <w:szCs w:val="28"/>
          <w:lang w:eastAsia="zh-CN"/>
        </w:rPr>
      </w:pPr>
    </w:p>
    <w:p>
      <w:pPr>
        <w:jc w:val="center"/>
        <w:rPr>
          <w:rFonts w:ascii="Times New Roman" w:hAnsi="Times New Roman" w:eastAsia="宋体" w:cs="Times New Roman"/>
          <w:kern w:val="2"/>
          <w:sz w:val="28"/>
          <w:szCs w:val="28"/>
          <w:lang w:eastAsia="zh-CN"/>
        </w:rPr>
      </w:pPr>
    </w:p>
    <w:p>
      <w:pPr>
        <w:jc w:val="center"/>
        <w:rPr>
          <w:rFonts w:ascii="Times New Roman" w:hAnsi="Times New Roman" w:eastAsia="宋体" w:cs="Times New Roman"/>
          <w:kern w:val="2"/>
          <w:sz w:val="28"/>
          <w:szCs w:val="28"/>
          <w:lang w:eastAsia="zh-CN"/>
        </w:rPr>
      </w:pPr>
    </w:p>
    <w:p>
      <w:pPr>
        <w:jc w:val="center"/>
        <w:rPr>
          <w:rFonts w:ascii="Times New Roman" w:hAnsi="Times New Roman" w:eastAsia="宋体" w:cs="Times New Roman"/>
          <w:kern w:val="2"/>
          <w:sz w:val="28"/>
          <w:szCs w:val="28"/>
          <w:lang w:eastAsia="zh-CN"/>
        </w:rPr>
      </w:pPr>
    </w:p>
    <w:p>
      <w:pPr>
        <w:spacing w:line="534" w:lineRule="exact"/>
        <w:ind w:left="2505"/>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征地补偿安置方案</w:t>
      </w:r>
    </w:p>
    <w:p>
      <w:pPr>
        <w:spacing w:before="7"/>
        <w:rPr>
          <w:rFonts w:ascii="Adobe 黑体 Std R" w:hAnsi="Adobe 黑体 Std R" w:eastAsia="Adobe 黑体 Std R" w:cs="Adobe 黑体 Std R"/>
          <w:sz w:val="34"/>
          <w:szCs w:val="34"/>
          <w:lang w:eastAsia="zh-CN"/>
        </w:rPr>
      </w:pPr>
    </w:p>
    <w:p>
      <w:pPr>
        <w:pStyle w:val="4"/>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为实施广州市花都区赤坭镇、炭步镇建设规划，完善城市功能，改善城市环境，促进经济、文化发展。我区拟征收广州市花都区炭步镇社岗南三经济合作社，社岗南二经济合作社，平岭头经济联合社，新太黄村第四经济合作社，赤坭镇门口坑第二经济合作社，横沙经济联合社，珊瑚第五经济合作社，西边第一经济合作社、西边第十三经济合作社（共有）属下的集体土地2.1877公顷，面积合计2.1877公顷。根据《中华人民共和国土地管理法》第二条、第四十五条、第四十七条，《中华人民共和国土地管理法实施条例》第二十七条、第二十八条，以及《广东省</w:t>
      </w:r>
      <w:r>
        <w:rPr>
          <w:rFonts w:ascii="Times New Roman" w:hAnsi="Times New Roman" w:eastAsia="仿宋_GB2312" w:cs="Times New Roman"/>
          <w:spacing w:val="6"/>
          <w:lang w:eastAsia="zh-CN"/>
        </w:rPr>
        <w:t>土地管理条例》第三十条等规定，结合花都</w:t>
      </w:r>
      <w:r>
        <w:rPr>
          <w:rFonts w:ascii="Times New Roman" w:hAnsi="Times New Roman" w:eastAsia="仿宋_GB2312" w:cs="Times New Roman"/>
          <w:spacing w:val="5"/>
          <w:lang w:eastAsia="zh-CN"/>
        </w:rPr>
        <w:t>区的征收农用地</w:t>
      </w:r>
      <w:r>
        <w:rPr>
          <w:rFonts w:ascii="Times New Roman" w:hAnsi="Times New Roman" w:eastAsia="仿宋_GB2312" w:cs="Times New Roman"/>
          <w:lang w:eastAsia="zh-CN"/>
        </w:rPr>
        <w:t>区片综合地价和实际情况，拟定了征地补偿安置方案，具体如下：</w:t>
      </w:r>
    </w:p>
    <w:p>
      <w:pPr>
        <w:pStyle w:val="4"/>
        <w:spacing w:before="0" w:line="560" w:lineRule="exact"/>
        <w:ind w:left="0" w:firstLine="640" w:firstLineChars="200"/>
        <w:jc w:val="both"/>
        <w:rPr>
          <w:rFonts w:ascii="仿宋_GB2312" w:hAnsi="仿宋_GB2312" w:eastAsia="仿宋_GB2312" w:cs="仿宋_GB2312"/>
          <w:lang w:eastAsia="zh-CN"/>
        </w:rPr>
      </w:pPr>
      <w:r>
        <w:rPr>
          <w:rFonts w:hint="eastAsia" w:ascii="仿宋_GB2312" w:hAnsi="仿宋_GB2312" w:eastAsia="仿宋_GB2312" w:cs="仿宋_GB2312"/>
          <w:lang w:eastAsia="zh-CN"/>
        </w:rPr>
        <w:t>一、征收范围</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拟征收土地位于</w:t>
      </w:r>
      <w:r>
        <w:rPr>
          <w:rFonts w:hint="eastAsia" w:ascii="Times New Roman" w:hAnsi="Times New Roman" w:eastAsia="仿宋_GB2312" w:cs="Times New Roman"/>
          <w:sz w:val="32"/>
          <w:szCs w:val="32"/>
          <w:lang w:eastAsia="zh-CN"/>
        </w:rPr>
        <w:t>广州市花都区炭步镇社岗南三经济合作社，社岗南二经济合作社，平岭头经济联合社，新太黄村第四经济合作社，赤坭镇门口坑第二经济合作社，横沙经济联合社，珊瑚第五经济合作社，西边第一经济合作社、西边第十三经济合作社（共有），珊瑚第五经济合作社</w:t>
      </w:r>
      <w:r>
        <w:rPr>
          <w:rFonts w:ascii="Times New Roman" w:hAnsi="Times New Roman" w:eastAsia="仿宋_GB2312" w:cs="Times New Roman"/>
          <w:sz w:val="32"/>
          <w:szCs w:val="32"/>
          <w:lang w:eastAsia="zh-CN"/>
        </w:rPr>
        <w:t>范围内，具体位置详见附图。</w:t>
      </w:r>
    </w:p>
    <w:p>
      <w:pPr>
        <w:pStyle w:val="4"/>
        <w:spacing w:before="0" w:line="560" w:lineRule="exact"/>
        <w:ind w:left="0" w:firstLine="640" w:firstLineChars="200"/>
        <w:jc w:val="both"/>
        <w:rPr>
          <w:rFonts w:ascii="仿宋_GB2312" w:hAnsi="仿宋_GB2312" w:eastAsia="仿宋_GB2312" w:cs="仿宋_GB2312"/>
          <w:lang w:eastAsia="zh-CN"/>
        </w:rPr>
      </w:pPr>
      <w:r>
        <w:rPr>
          <w:rFonts w:hint="eastAsia" w:ascii="仿宋_GB2312" w:hAnsi="仿宋_GB2312" w:eastAsia="仿宋_GB2312" w:cs="仿宋_GB2312"/>
          <w:lang w:eastAsia="zh-CN"/>
        </w:rPr>
        <w:t>实际征收土地范围以最终批准文件为准。</w:t>
      </w:r>
    </w:p>
    <w:p>
      <w:pPr>
        <w:pStyle w:val="4"/>
        <w:spacing w:before="0" w:line="560" w:lineRule="exact"/>
        <w:ind w:left="0" w:firstLine="640" w:firstLineChars="200"/>
        <w:jc w:val="both"/>
        <w:rPr>
          <w:rFonts w:ascii="仿宋_GB2312" w:hAnsi="仿宋_GB2312" w:eastAsia="仿宋_GB2312" w:cs="仿宋_GB2312"/>
          <w:lang w:eastAsia="zh-CN"/>
        </w:rPr>
      </w:pPr>
      <w:r>
        <w:rPr>
          <w:rFonts w:hint="eastAsia" w:ascii="仿宋_GB2312" w:hAnsi="仿宋_GB2312" w:eastAsia="仿宋_GB2312" w:cs="仿宋_GB2312"/>
          <w:lang w:eastAsia="zh-CN"/>
        </w:rPr>
        <w:t>二、征收目的</w:t>
      </w:r>
    </w:p>
    <w:p>
      <w:pPr>
        <w:pStyle w:val="4"/>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根据《中华人民共和国土地管理法》第四十五条的规定，本次征收土地目的为了公共利益的需要，由政府组织实施的能源、交通、水利、通信、邮政等基础设施建设需要用地，拟征收土地规划用途为公共管理与公共服务用地，用地报批组卷批次号为广州市花都区2024年度第二十批次城镇建设用地。</w:t>
      </w:r>
    </w:p>
    <w:p>
      <w:pPr>
        <w:pStyle w:val="4"/>
        <w:spacing w:before="0" w:line="560" w:lineRule="exact"/>
        <w:ind w:left="0" w:firstLine="640" w:firstLineChars="200"/>
        <w:jc w:val="both"/>
        <w:rPr>
          <w:rFonts w:ascii="仿宋_GB2312" w:hAnsi="仿宋_GB2312" w:eastAsia="仿宋_GB2312" w:cs="仿宋_GB2312"/>
          <w:lang w:eastAsia="zh-CN"/>
        </w:rPr>
      </w:pPr>
      <w:r>
        <w:rPr>
          <w:rFonts w:hint="eastAsia" w:ascii="仿宋_GB2312" w:hAnsi="仿宋_GB2312" w:eastAsia="仿宋_GB2312" w:cs="仿宋_GB2312"/>
          <w:lang w:eastAsia="zh-CN"/>
        </w:rPr>
        <w:t>三、土地现状</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根据拟征收土地现状调查结果，拟征收土地现状为：</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（一）拟征收广州市花都区赤坭镇横沙经济联合社属下的集体所有土地</w:t>
      </w:r>
      <w:r>
        <w:rPr>
          <w:rFonts w:ascii="Times New Roman" w:hAnsi="Times New Roman" w:eastAsia="仿宋_GB2312" w:cs="Times New Roman"/>
          <w:sz w:val="32"/>
          <w:szCs w:val="32"/>
          <w:lang w:eastAsia="zh-CN"/>
        </w:rPr>
        <w:t>0.3946</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5.9190</w:t>
      </w:r>
      <w:r>
        <w:rPr>
          <w:rFonts w:hint="eastAsia" w:ascii="Times New Roman" w:hAnsi="Times New Roman" w:eastAsia="仿宋_GB2312" w:cs="Times New Roman"/>
          <w:sz w:val="32"/>
          <w:szCs w:val="32"/>
          <w:lang w:eastAsia="zh-CN"/>
        </w:rPr>
        <w:t>亩）。其中农用地</w:t>
      </w:r>
      <w:r>
        <w:rPr>
          <w:rFonts w:ascii="Times New Roman" w:hAnsi="Times New Roman" w:eastAsia="仿宋_GB2312" w:cs="Times New Roman"/>
          <w:sz w:val="32"/>
          <w:szCs w:val="32"/>
          <w:lang w:eastAsia="zh-CN"/>
        </w:rPr>
        <w:t>0.0199</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0.2985</w:t>
      </w:r>
      <w:r>
        <w:rPr>
          <w:rFonts w:hint="eastAsia" w:ascii="Times New Roman" w:hAnsi="Times New Roman" w:eastAsia="仿宋_GB2312" w:cs="Times New Roman"/>
          <w:sz w:val="32"/>
          <w:szCs w:val="32"/>
          <w:lang w:eastAsia="zh-CN"/>
        </w:rPr>
        <w:t>亩），不涉及耕地；建设用地</w:t>
      </w:r>
      <w:r>
        <w:rPr>
          <w:rFonts w:ascii="Times New Roman" w:hAnsi="Times New Roman" w:eastAsia="仿宋_GB2312" w:cs="Times New Roman"/>
          <w:sz w:val="32"/>
          <w:szCs w:val="32"/>
          <w:lang w:eastAsia="zh-CN"/>
        </w:rPr>
        <w:t>0.3747</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5.6205</w:t>
      </w:r>
      <w:r>
        <w:rPr>
          <w:rFonts w:hint="eastAsia" w:ascii="Times New Roman" w:hAnsi="Times New Roman" w:eastAsia="仿宋_GB2312" w:cs="Times New Roman"/>
          <w:sz w:val="32"/>
          <w:szCs w:val="32"/>
          <w:lang w:eastAsia="zh-CN"/>
        </w:rPr>
        <w:t>亩）；不涉及未利用地。</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（二）拟征收广州市花都区赤坭镇门口坑第二经济合作社属下的集体所有土地</w:t>
      </w:r>
      <w:r>
        <w:rPr>
          <w:rFonts w:ascii="Times New Roman" w:hAnsi="Times New Roman" w:eastAsia="仿宋_GB2312" w:cs="Times New Roman"/>
          <w:sz w:val="32"/>
          <w:szCs w:val="32"/>
          <w:lang w:eastAsia="zh-CN"/>
        </w:rPr>
        <w:t>0.0998</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1.4970</w:t>
      </w:r>
      <w:r>
        <w:rPr>
          <w:rFonts w:hint="eastAsia" w:ascii="Times New Roman" w:hAnsi="Times New Roman" w:eastAsia="仿宋_GB2312" w:cs="Times New Roman"/>
          <w:sz w:val="32"/>
          <w:szCs w:val="32"/>
          <w:lang w:eastAsia="zh-CN"/>
        </w:rPr>
        <w:t>亩）。其中农用地</w:t>
      </w:r>
      <w:r>
        <w:rPr>
          <w:rFonts w:ascii="Times New Roman" w:hAnsi="Times New Roman" w:eastAsia="仿宋_GB2312" w:cs="Times New Roman"/>
          <w:sz w:val="32"/>
          <w:szCs w:val="32"/>
          <w:lang w:eastAsia="zh-CN"/>
        </w:rPr>
        <w:t>0.0231</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0.3465</w:t>
      </w:r>
      <w:r>
        <w:rPr>
          <w:rFonts w:hint="eastAsia" w:ascii="Times New Roman" w:hAnsi="Times New Roman" w:eastAsia="仿宋_GB2312" w:cs="Times New Roman"/>
          <w:sz w:val="32"/>
          <w:szCs w:val="32"/>
          <w:lang w:eastAsia="zh-CN"/>
        </w:rPr>
        <w:t>亩），不涉及耕地；建设用地</w:t>
      </w:r>
      <w:r>
        <w:rPr>
          <w:rFonts w:ascii="Times New Roman" w:hAnsi="Times New Roman" w:eastAsia="仿宋_GB2312" w:cs="Times New Roman"/>
          <w:sz w:val="32"/>
          <w:szCs w:val="32"/>
          <w:lang w:eastAsia="zh-CN"/>
        </w:rPr>
        <w:t>0.0767</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1.1505</w:t>
      </w:r>
      <w:r>
        <w:rPr>
          <w:rFonts w:hint="eastAsia" w:ascii="Times New Roman" w:hAnsi="Times New Roman" w:eastAsia="仿宋_GB2312" w:cs="Times New Roman"/>
          <w:sz w:val="32"/>
          <w:szCs w:val="32"/>
          <w:lang w:eastAsia="zh-CN"/>
        </w:rPr>
        <w:t>亩）；不涉及未利用地。</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（三）拟征收广州市花都区赤坭镇珊瑚第五经济合作社属下的集体所有土地</w:t>
      </w:r>
      <w:r>
        <w:rPr>
          <w:rFonts w:ascii="Times New Roman" w:hAnsi="Times New Roman" w:eastAsia="仿宋_GB2312" w:cs="Times New Roman"/>
          <w:sz w:val="32"/>
          <w:szCs w:val="32"/>
          <w:lang w:eastAsia="zh-CN"/>
        </w:rPr>
        <w:t>0.6953</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10.4295</w:t>
      </w:r>
      <w:r>
        <w:rPr>
          <w:rFonts w:hint="eastAsia" w:ascii="Times New Roman" w:hAnsi="Times New Roman" w:eastAsia="仿宋_GB2312" w:cs="Times New Roman"/>
          <w:sz w:val="32"/>
          <w:szCs w:val="32"/>
          <w:lang w:eastAsia="zh-CN"/>
        </w:rPr>
        <w:t>亩）。其中农用地</w:t>
      </w:r>
      <w:r>
        <w:rPr>
          <w:rFonts w:ascii="Times New Roman" w:hAnsi="Times New Roman" w:eastAsia="仿宋_GB2312" w:cs="Times New Roman"/>
          <w:sz w:val="32"/>
          <w:szCs w:val="32"/>
          <w:lang w:eastAsia="zh-CN"/>
        </w:rPr>
        <w:t>0.0278</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0.4170</w:t>
      </w:r>
      <w:r>
        <w:rPr>
          <w:rFonts w:hint="eastAsia" w:ascii="Times New Roman" w:hAnsi="Times New Roman" w:eastAsia="仿宋_GB2312" w:cs="Times New Roman"/>
          <w:sz w:val="32"/>
          <w:szCs w:val="32"/>
          <w:lang w:eastAsia="zh-CN"/>
        </w:rPr>
        <w:t>亩），不涉及耕地；建设用地</w:t>
      </w:r>
      <w:r>
        <w:rPr>
          <w:rFonts w:ascii="Times New Roman" w:hAnsi="Times New Roman" w:eastAsia="仿宋_GB2312" w:cs="Times New Roman"/>
          <w:sz w:val="32"/>
          <w:szCs w:val="32"/>
          <w:lang w:eastAsia="zh-CN"/>
        </w:rPr>
        <w:t>0.6675</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10.0125</w:t>
      </w:r>
      <w:r>
        <w:rPr>
          <w:rFonts w:hint="eastAsia" w:ascii="Times New Roman" w:hAnsi="Times New Roman" w:eastAsia="仿宋_GB2312" w:cs="Times New Roman"/>
          <w:sz w:val="32"/>
          <w:szCs w:val="32"/>
          <w:lang w:eastAsia="zh-CN"/>
        </w:rPr>
        <w:t>亩）；不涉及未利用地。</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（四）拟征收广州市花都区赤坭镇西边第一经济合作社、西边第十三经济合作社（共有）属下的集体所有土地</w:t>
      </w:r>
      <w:r>
        <w:rPr>
          <w:rFonts w:ascii="Times New Roman" w:hAnsi="Times New Roman" w:eastAsia="仿宋_GB2312" w:cs="Times New Roman"/>
          <w:sz w:val="32"/>
          <w:szCs w:val="32"/>
          <w:lang w:eastAsia="zh-CN"/>
        </w:rPr>
        <w:t>0.6993</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10.4895</w:t>
      </w:r>
      <w:r>
        <w:rPr>
          <w:rFonts w:hint="eastAsia" w:ascii="Times New Roman" w:hAnsi="Times New Roman" w:eastAsia="仿宋_GB2312" w:cs="Times New Roman"/>
          <w:sz w:val="32"/>
          <w:szCs w:val="32"/>
          <w:lang w:eastAsia="zh-CN"/>
        </w:rPr>
        <w:t>亩）。其中农用地</w:t>
      </w:r>
      <w:r>
        <w:rPr>
          <w:rFonts w:ascii="Times New Roman" w:hAnsi="Times New Roman" w:eastAsia="仿宋_GB2312" w:cs="Times New Roman"/>
          <w:sz w:val="32"/>
          <w:szCs w:val="32"/>
          <w:lang w:eastAsia="zh-CN"/>
        </w:rPr>
        <w:t>0.0387</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0.5805</w:t>
      </w:r>
      <w:r>
        <w:rPr>
          <w:rFonts w:hint="eastAsia" w:ascii="Times New Roman" w:hAnsi="Times New Roman" w:eastAsia="仿宋_GB2312" w:cs="Times New Roman"/>
          <w:sz w:val="32"/>
          <w:szCs w:val="32"/>
          <w:lang w:eastAsia="zh-CN"/>
        </w:rPr>
        <w:t>亩），不涉及耕地；建设用地</w:t>
      </w:r>
      <w:r>
        <w:rPr>
          <w:rFonts w:ascii="Times New Roman" w:hAnsi="Times New Roman" w:eastAsia="仿宋_GB2312" w:cs="Times New Roman"/>
          <w:sz w:val="32"/>
          <w:szCs w:val="32"/>
          <w:lang w:eastAsia="zh-CN"/>
        </w:rPr>
        <w:t>0.6606</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9.9090</w:t>
      </w:r>
      <w:r>
        <w:rPr>
          <w:rFonts w:hint="eastAsia" w:ascii="Times New Roman" w:hAnsi="Times New Roman" w:eastAsia="仿宋_GB2312" w:cs="Times New Roman"/>
          <w:sz w:val="32"/>
          <w:szCs w:val="32"/>
          <w:lang w:eastAsia="zh-CN"/>
        </w:rPr>
        <w:t>亩）；不涉及未利用地。</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（五）拟征收广州市花都区炭步镇平岭头经济联合社属下的集体所有土地</w:t>
      </w:r>
      <w:r>
        <w:rPr>
          <w:rFonts w:ascii="Times New Roman" w:hAnsi="Times New Roman" w:eastAsia="仿宋_GB2312" w:cs="Times New Roman"/>
          <w:sz w:val="32"/>
          <w:szCs w:val="32"/>
          <w:lang w:eastAsia="zh-CN"/>
        </w:rPr>
        <w:t>0.0996</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1.4940</w:t>
      </w:r>
      <w:r>
        <w:rPr>
          <w:rFonts w:hint="eastAsia" w:ascii="Times New Roman" w:hAnsi="Times New Roman" w:eastAsia="仿宋_GB2312" w:cs="Times New Roman"/>
          <w:sz w:val="32"/>
          <w:szCs w:val="32"/>
          <w:lang w:eastAsia="zh-CN"/>
        </w:rPr>
        <w:t>亩）。其中农用地</w:t>
      </w:r>
      <w:r>
        <w:rPr>
          <w:rFonts w:ascii="Times New Roman" w:hAnsi="Times New Roman" w:eastAsia="仿宋_GB2312" w:cs="Times New Roman"/>
          <w:sz w:val="32"/>
          <w:szCs w:val="32"/>
          <w:lang w:eastAsia="zh-CN"/>
        </w:rPr>
        <w:t>0.0014</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0.0210</w:t>
      </w:r>
      <w:r>
        <w:rPr>
          <w:rFonts w:hint="eastAsia" w:ascii="Times New Roman" w:hAnsi="Times New Roman" w:eastAsia="仿宋_GB2312" w:cs="Times New Roman"/>
          <w:sz w:val="32"/>
          <w:szCs w:val="32"/>
          <w:lang w:eastAsia="zh-CN"/>
        </w:rPr>
        <w:t>亩），不涉及耕地；建设用地</w:t>
      </w:r>
      <w:r>
        <w:rPr>
          <w:rFonts w:ascii="Times New Roman" w:hAnsi="Times New Roman" w:eastAsia="仿宋_GB2312" w:cs="Times New Roman"/>
          <w:sz w:val="32"/>
          <w:szCs w:val="32"/>
          <w:lang w:eastAsia="zh-CN"/>
        </w:rPr>
        <w:t>0.0982</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1.4730</w:t>
      </w:r>
      <w:r>
        <w:rPr>
          <w:rFonts w:hint="eastAsia" w:ascii="Times New Roman" w:hAnsi="Times New Roman" w:eastAsia="仿宋_GB2312" w:cs="Times New Roman"/>
          <w:sz w:val="32"/>
          <w:szCs w:val="32"/>
          <w:lang w:eastAsia="zh-CN"/>
        </w:rPr>
        <w:t>亩）；不涉及未利用地。</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（六）拟征收广州市花都区炭步镇社岗南二经济合作社属下的集体所有土地</w:t>
      </w:r>
      <w:r>
        <w:rPr>
          <w:rFonts w:ascii="Times New Roman" w:hAnsi="Times New Roman" w:eastAsia="仿宋_GB2312" w:cs="Times New Roman"/>
          <w:sz w:val="32"/>
          <w:szCs w:val="32"/>
          <w:lang w:eastAsia="zh-CN"/>
        </w:rPr>
        <w:t>0.0691</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1.0365</w:t>
      </w:r>
      <w:r>
        <w:rPr>
          <w:rFonts w:hint="eastAsia" w:ascii="Times New Roman" w:hAnsi="Times New Roman" w:eastAsia="仿宋_GB2312" w:cs="Times New Roman"/>
          <w:sz w:val="32"/>
          <w:szCs w:val="32"/>
          <w:lang w:eastAsia="zh-CN"/>
        </w:rPr>
        <w:t>亩）。其中农用地</w:t>
      </w:r>
      <w:r>
        <w:rPr>
          <w:rFonts w:ascii="Times New Roman" w:hAnsi="Times New Roman" w:eastAsia="仿宋_GB2312" w:cs="Times New Roman"/>
          <w:sz w:val="32"/>
          <w:szCs w:val="32"/>
          <w:lang w:eastAsia="zh-CN"/>
        </w:rPr>
        <w:t>0.0691</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1.0365</w:t>
      </w:r>
      <w:r>
        <w:rPr>
          <w:rFonts w:hint="eastAsia" w:ascii="Times New Roman" w:hAnsi="Times New Roman" w:eastAsia="仿宋_GB2312" w:cs="Times New Roman"/>
          <w:sz w:val="32"/>
          <w:szCs w:val="32"/>
          <w:lang w:eastAsia="zh-CN"/>
        </w:rPr>
        <w:t>亩），不涉及耕地；不涉及未利用地。</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（七）拟征收广州市花都区炭步镇社岗南三经济合作社属下的集体所有土地</w:t>
      </w:r>
      <w:r>
        <w:rPr>
          <w:rFonts w:ascii="Times New Roman" w:hAnsi="Times New Roman" w:eastAsia="仿宋_GB2312" w:cs="Times New Roman"/>
          <w:sz w:val="32"/>
          <w:szCs w:val="32"/>
          <w:lang w:eastAsia="zh-CN"/>
        </w:rPr>
        <w:t>0.0303</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0.4545</w:t>
      </w:r>
      <w:r>
        <w:rPr>
          <w:rFonts w:hint="eastAsia" w:ascii="Times New Roman" w:hAnsi="Times New Roman" w:eastAsia="仿宋_GB2312" w:cs="Times New Roman"/>
          <w:sz w:val="32"/>
          <w:szCs w:val="32"/>
          <w:lang w:eastAsia="zh-CN"/>
        </w:rPr>
        <w:t>亩）。其中农用地</w:t>
      </w:r>
      <w:r>
        <w:rPr>
          <w:rFonts w:ascii="Times New Roman" w:hAnsi="Times New Roman" w:eastAsia="仿宋_GB2312" w:cs="Times New Roman"/>
          <w:sz w:val="32"/>
          <w:szCs w:val="32"/>
          <w:lang w:eastAsia="zh-CN"/>
        </w:rPr>
        <w:t>0.0303</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0.4545</w:t>
      </w:r>
      <w:r>
        <w:rPr>
          <w:rFonts w:hint="eastAsia" w:ascii="Times New Roman" w:hAnsi="Times New Roman" w:eastAsia="仿宋_GB2312" w:cs="Times New Roman"/>
          <w:sz w:val="32"/>
          <w:szCs w:val="32"/>
          <w:lang w:eastAsia="zh-CN"/>
        </w:rPr>
        <w:t>亩），不涉及耕地；不涉及未利用地。</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（八）拟征收广州市花都区炭步镇新太黄村第四经济合作社属下的集体所有土地</w:t>
      </w:r>
      <w:r>
        <w:rPr>
          <w:rFonts w:ascii="Times New Roman" w:hAnsi="Times New Roman" w:eastAsia="仿宋_GB2312" w:cs="Times New Roman"/>
          <w:sz w:val="32"/>
          <w:szCs w:val="32"/>
          <w:lang w:eastAsia="zh-CN"/>
        </w:rPr>
        <w:t>0.0997</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1.4955</w:t>
      </w:r>
      <w:r>
        <w:rPr>
          <w:rFonts w:hint="eastAsia" w:ascii="Times New Roman" w:hAnsi="Times New Roman" w:eastAsia="仿宋_GB2312" w:cs="Times New Roman"/>
          <w:sz w:val="32"/>
          <w:szCs w:val="32"/>
          <w:lang w:eastAsia="zh-CN"/>
        </w:rPr>
        <w:t>亩）。其中农用地</w:t>
      </w:r>
      <w:r>
        <w:rPr>
          <w:rFonts w:ascii="Times New Roman" w:hAnsi="Times New Roman" w:eastAsia="仿宋_GB2312" w:cs="Times New Roman"/>
          <w:sz w:val="32"/>
          <w:szCs w:val="32"/>
          <w:lang w:eastAsia="zh-CN"/>
        </w:rPr>
        <w:t>0.0997</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1.4955</w:t>
      </w:r>
      <w:r>
        <w:rPr>
          <w:rFonts w:hint="eastAsia" w:ascii="Times New Roman" w:hAnsi="Times New Roman" w:eastAsia="仿宋_GB2312" w:cs="Times New Roman"/>
          <w:sz w:val="32"/>
          <w:szCs w:val="32"/>
          <w:lang w:eastAsia="zh-CN"/>
        </w:rPr>
        <w:t>亩），不涉及耕地；不涉及未利用地。</w:t>
      </w:r>
    </w:p>
    <w:p>
      <w:pPr>
        <w:pStyle w:val="4"/>
        <w:spacing w:before="0" w:line="520" w:lineRule="exact"/>
        <w:ind w:left="0" w:firstLine="640" w:firstLineChars="200"/>
        <w:jc w:val="both"/>
        <w:rPr>
          <w:rFonts w:ascii="仿宋_GB2312" w:hAnsi="仿宋_GB2312" w:eastAsia="仿宋_GB2312" w:cs="仿宋_GB2312"/>
          <w:lang w:eastAsia="zh-CN"/>
        </w:rPr>
      </w:pPr>
      <w:r>
        <w:rPr>
          <w:rFonts w:hint="eastAsia" w:ascii="仿宋_GB2312" w:hAnsi="仿宋_GB2312" w:eastAsia="仿宋_GB2312" w:cs="仿宋_GB2312"/>
          <w:lang w:eastAsia="zh-CN"/>
        </w:rPr>
        <w:t>四、补偿方式和标准</w:t>
      </w:r>
    </w:p>
    <w:p>
      <w:pPr>
        <w:spacing w:line="52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（一）土地补偿费和安置补助费标准。</w:t>
      </w:r>
    </w:p>
    <w:p>
      <w:pPr>
        <w:spacing w:line="52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根据《中华人民共和国土地管理法》《广东省土地管理条例》等规定，并结合《</w:t>
      </w:r>
      <w:r>
        <w:rPr>
          <w:rFonts w:hint="eastAsia" w:ascii="Times New Roman" w:hAnsi="Times New Roman" w:eastAsia="仿宋_GB2312" w:cs="Times New Roman"/>
          <w:sz w:val="32"/>
          <w:szCs w:val="32"/>
          <w:lang w:eastAsia="zh-CN"/>
        </w:rPr>
        <w:t>广东省自然资源厅关于</w:t>
      </w:r>
      <w:r>
        <w:rPr>
          <w:rFonts w:ascii="Times New Roman" w:hAnsi="Times New Roman" w:eastAsia="仿宋_GB2312" w:cs="Times New Roman"/>
          <w:sz w:val="32"/>
          <w:szCs w:val="32"/>
          <w:lang w:eastAsia="zh-CN"/>
        </w:rPr>
        <w:t>广州</w:t>
      </w:r>
      <w:r>
        <w:rPr>
          <w:rFonts w:hint="eastAsia" w:ascii="Times New Roman" w:hAnsi="Times New Roman" w:eastAsia="仿宋_GB2312" w:cs="Times New Roman"/>
          <w:sz w:val="32"/>
          <w:szCs w:val="32"/>
          <w:lang w:eastAsia="zh-CN"/>
        </w:rPr>
        <w:t>市</w:t>
      </w:r>
      <w:r>
        <w:rPr>
          <w:rFonts w:ascii="Times New Roman" w:hAnsi="Times New Roman" w:eastAsia="仿宋_GB2312" w:cs="Times New Roman"/>
          <w:sz w:val="32"/>
          <w:szCs w:val="32"/>
          <w:lang w:eastAsia="zh-CN"/>
        </w:rPr>
        <w:t>征收农用地区片综合地价</w:t>
      </w:r>
      <w:r>
        <w:rPr>
          <w:rFonts w:hint="eastAsia" w:ascii="Times New Roman" w:hAnsi="Times New Roman" w:eastAsia="仿宋_GB2312" w:cs="Times New Roman"/>
          <w:sz w:val="32"/>
          <w:szCs w:val="32"/>
          <w:lang w:eastAsia="zh-CN"/>
        </w:rPr>
        <w:t>成果的批复</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（粤自然资函〔2024〕103号）</w:t>
      </w:r>
      <w:r>
        <w:rPr>
          <w:rFonts w:ascii="Times New Roman" w:hAnsi="Times New Roman" w:eastAsia="仿宋_GB2312" w:cs="Times New Roman"/>
          <w:sz w:val="32"/>
          <w:szCs w:val="32"/>
          <w:lang w:eastAsia="zh-CN"/>
        </w:rPr>
        <w:t>的规定，征收集体农用地按165万元/公顷补偿（其中，土地补偿费82.5万元/公顷、安置补助费82.5万元/公顷）、建设用地和未利用地按165万元/公顷的标准补偿。</w:t>
      </w:r>
    </w:p>
    <w:p>
      <w:pPr>
        <w:spacing w:line="52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（二）农村村民住宅</w:t>
      </w:r>
      <w:r>
        <w:rPr>
          <w:rFonts w:hint="eastAsia" w:ascii="Times New Roman" w:hAnsi="Times New Roman" w:eastAsia="仿宋_GB2312" w:cs="Times New Roman"/>
          <w:sz w:val="32"/>
          <w:szCs w:val="32"/>
          <w:lang w:eastAsia="zh-CN"/>
        </w:rPr>
        <w:t>、青苗及其他地上附着物</w:t>
      </w:r>
      <w:r>
        <w:rPr>
          <w:rFonts w:ascii="Times New Roman" w:hAnsi="Times New Roman" w:eastAsia="仿宋_GB2312" w:cs="Times New Roman"/>
          <w:sz w:val="32"/>
          <w:szCs w:val="32"/>
          <w:lang w:eastAsia="zh-CN"/>
        </w:rPr>
        <w:t>补偿。</w:t>
      </w:r>
    </w:p>
    <w:p>
      <w:pPr>
        <w:spacing w:line="52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本次征地不涉及农村村民住宅、青苗及其他地上附着物补偿。</w:t>
      </w:r>
    </w:p>
    <w:p>
      <w:pPr>
        <w:spacing w:line="52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五、安置对象</w:t>
      </w:r>
    </w:p>
    <w:p>
      <w:pPr>
        <w:spacing w:line="52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ascii="Times New Roman" w:hAnsi="Times New Roman" w:eastAsia="仿宋_GB2312" w:cs="Times New Roman"/>
          <w:sz w:val="32"/>
          <w:szCs w:val="32"/>
          <w:lang w:eastAsia="zh-CN"/>
        </w:rPr>
        <w:t>障。安置补助费由区人民政府按规定支付给土地所有权人，由农村财务管理部门按照省、市农村集体资产管理相关规定管理和使用。</w:t>
      </w:r>
    </w:p>
    <w:p>
      <w:pPr>
        <w:spacing w:line="52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六、安置方式和社会保障</w:t>
      </w:r>
    </w:p>
    <w:p>
      <w:pPr>
        <w:spacing w:line="52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（一）货币安置。所需费用已包含在土地补偿安置费中。</w:t>
      </w:r>
    </w:p>
    <w:p>
      <w:pPr>
        <w:spacing w:line="52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（二）留用地安置。根据《广东省人民政府办公厅关于加强征收农村集体土地留用地安置管理工作的意见》（粤府办〔2016〕30号）</w:t>
      </w:r>
      <w:r>
        <w:rPr>
          <w:rFonts w:hint="eastAsia" w:ascii="Times New Roman" w:hAnsi="Times New Roman" w:eastAsia="仿宋_GB2312" w:cs="Times New Roman"/>
          <w:sz w:val="32"/>
          <w:szCs w:val="32"/>
          <w:lang w:eastAsia="zh-CN"/>
        </w:rPr>
        <w:t>、参照</w:t>
      </w:r>
      <w:r>
        <w:rPr>
          <w:rFonts w:ascii="Times New Roman" w:hAnsi="Times New Roman" w:eastAsia="仿宋_GB2312" w:cs="Times New Roman"/>
          <w:sz w:val="32"/>
          <w:szCs w:val="32"/>
          <w:lang w:eastAsia="zh-CN"/>
        </w:rPr>
        <w:t>《广州市人民政府办公厅关于进一步加强征收农村集体土地留用地管理的意见》（穗府办规〔2018〕17号）相关规定，按实际征收土地面积的10%安排留用地，留用地兑现方式为折算货币补偿。</w:t>
      </w:r>
    </w:p>
    <w:p>
      <w:pPr>
        <w:spacing w:line="52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（三）社会保障费用。根据《广东省人民政府办公厅转发省人力资源社会保障厅关于进一步完善我省被征地农民养老保障政策意见的通知》（粤府办〔2021〕22号）规定，</w:t>
      </w:r>
      <w:r>
        <w:rPr>
          <w:rFonts w:hint="eastAsia" w:ascii="Times New Roman" w:hAnsi="Times New Roman" w:eastAsia="仿宋_GB2312" w:cs="Times New Roman"/>
          <w:sz w:val="32"/>
          <w:szCs w:val="32"/>
          <w:lang w:eastAsia="zh-CN"/>
        </w:rPr>
        <w:t>核定该项目按2.14万元/亩的标准计提</w:t>
      </w:r>
      <w:r>
        <w:rPr>
          <w:rFonts w:ascii="Times New Roman" w:hAnsi="Times New Roman" w:eastAsia="仿宋_GB2312" w:cs="Times New Roman"/>
          <w:sz w:val="32"/>
          <w:szCs w:val="32"/>
          <w:lang w:eastAsia="zh-CN"/>
        </w:rPr>
        <w:t>一次性</w:t>
      </w:r>
      <w:r>
        <w:rPr>
          <w:rFonts w:hint="eastAsia" w:ascii="Times New Roman" w:hAnsi="Times New Roman" w:eastAsia="仿宋_GB2312" w:cs="Times New Roman"/>
          <w:sz w:val="32"/>
          <w:szCs w:val="32"/>
          <w:lang w:eastAsia="zh-CN"/>
        </w:rPr>
        <w:t>将</w:t>
      </w:r>
      <w:r>
        <w:rPr>
          <w:rFonts w:ascii="Times New Roman" w:hAnsi="Times New Roman" w:eastAsia="仿宋_GB2312" w:cs="Times New Roman"/>
          <w:sz w:val="32"/>
          <w:szCs w:val="32"/>
          <w:lang w:eastAsia="zh-CN"/>
        </w:rPr>
        <w:t>集体被征地农民养老保障资金存入“收缴被征地农民养老保障资金过渡户”，费用合计</w:t>
      </w:r>
      <w:r>
        <w:rPr>
          <w:rFonts w:hint="eastAsia" w:ascii="Times New Roman" w:hAnsi="Times New Roman" w:eastAsia="仿宋_GB2312" w:cs="Times New Roman"/>
          <w:sz w:val="32"/>
          <w:szCs w:val="32"/>
          <w:lang w:eastAsia="zh-CN"/>
        </w:rPr>
        <w:t>70.03</w:t>
      </w:r>
      <w:r>
        <w:rPr>
          <w:rFonts w:ascii="Times New Roman" w:hAnsi="Times New Roman" w:eastAsia="仿宋_GB2312" w:cs="Times New Roman"/>
          <w:sz w:val="32"/>
          <w:szCs w:val="32"/>
          <w:lang w:eastAsia="zh-CN"/>
        </w:rPr>
        <w:t>万元，专款用于被征地农民缴纳养老保险费用。征地批准文件批复的实际范围有变化的，费用将做相应调整。</w:t>
      </w:r>
    </w:p>
    <w:p>
      <w:pPr>
        <w:pStyle w:val="4"/>
        <w:spacing w:before="0" w:line="520" w:lineRule="exact"/>
        <w:ind w:left="0" w:right="260"/>
        <w:jc w:val="right"/>
        <w:rPr>
          <w:rFonts w:ascii="仿宋_GB2312" w:hAnsi="仿宋_GB2312" w:eastAsia="仿宋_GB2312" w:cs="仿宋_GB2312"/>
          <w:lang w:eastAsia="zh-CN"/>
        </w:rPr>
      </w:pPr>
    </w:p>
    <w:p>
      <w:pPr>
        <w:pStyle w:val="4"/>
        <w:spacing w:before="0" w:line="520" w:lineRule="exact"/>
        <w:ind w:left="0" w:right="260"/>
        <w:jc w:val="right"/>
        <w:rPr>
          <w:rFonts w:ascii="仿宋_GB2312" w:hAnsi="仿宋_GB2312" w:eastAsia="仿宋_GB2312" w:cs="仿宋_GB2312"/>
          <w:lang w:eastAsia="zh-CN"/>
        </w:rPr>
      </w:pPr>
    </w:p>
    <w:p>
      <w:pPr>
        <w:pStyle w:val="4"/>
        <w:spacing w:before="0" w:line="520" w:lineRule="exact"/>
        <w:ind w:left="0" w:right="260"/>
        <w:jc w:val="right"/>
        <w:rPr>
          <w:rFonts w:hint="eastAsia" w:ascii="仿宋_GB2312" w:hAnsi="仿宋_GB2312" w:eastAsia="仿宋_GB2312" w:cs="仿宋_GB2312"/>
          <w:lang w:eastAsia="zh-CN"/>
        </w:rPr>
      </w:pPr>
      <w:bookmarkStart w:id="0" w:name="_GoBack"/>
      <w:bookmarkEnd w:id="0"/>
    </w:p>
    <w:p>
      <w:pPr>
        <w:pStyle w:val="4"/>
        <w:spacing w:before="0" w:line="520" w:lineRule="exact"/>
        <w:ind w:left="0" w:right="260"/>
        <w:jc w:val="right"/>
        <w:rPr>
          <w:rFonts w:ascii="仿宋_GB2312" w:hAnsi="仿宋_GB2312" w:eastAsia="仿宋_GB2312" w:cs="仿宋_GB2312"/>
          <w:lang w:eastAsia="zh-CN"/>
        </w:rPr>
      </w:pPr>
      <w:r>
        <w:rPr>
          <w:rFonts w:hint="eastAsia" w:ascii="仿宋_GB2312" w:hAnsi="仿宋_GB2312" w:eastAsia="仿宋_GB2312" w:cs="仿宋_GB2312"/>
          <w:lang w:eastAsia="zh-CN"/>
        </w:rPr>
        <w:t>广州市规划和自然资源局花都区分局</w:t>
      </w:r>
    </w:p>
    <w:p>
      <w:pPr>
        <w:pStyle w:val="4"/>
        <w:spacing w:line="520" w:lineRule="exact"/>
        <w:ind w:left="0" w:right="260"/>
        <w:jc w:val="center"/>
        <w:rPr>
          <w:rFonts w:ascii="Times New Roman" w:hAnsi="Times New Roman" w:eastAsia="仿宋_GB2312" w:cs="Times New Roman"/>
        </w:rPr>
      </w:pPr>
      <w:r>
        <w:rPr>
          <w:rFonts w:hint="eastAsia" w:ascii="Times New Roman" w:hAnsi="Times New Roman" w:eastAsia="仿宋_GB2312" w:cs="Times New Roman"/>
          <w:lang w:eastAsia="zh-CN"/>
        </w:rPr>
        <w:t xml:space="preserve">                                          </w:t>
      </w:r>
      <w:r>
        <w:rPr>
          <w:rFonts w:ascii="Times New Roman" w:hAnsi="Times New Roman" w:eastAsia="仿宋_GB2312" w:cs="Times New Roman"/>
          <w:lang w:eastAsia="zh-CN"/>
        </w:rPr>
        <w:t>202</w:t>
      </w:r>
      <w:r>
        <w:rPr>
          <w:rFonts w:hint="eastAsia" w:ascii="Times New Roman" w:hAnsi="Times New Roman" w:eastAsia="仿宋_GB2312" w:cs="Times New Roman"/>
          <w:lang w:eastAsia="zh-CN"/>
        </w:rPr>
        <w:t>4</w:t>
      </w:r>
      <w:r>
        <w:rPr>
          <w:rFonts w:ascii="Times New Roman" w:hAnsi="Times New Roman" w:eastAsia="仿宋_GB2312" w:cs="Times New Roman"/>
        </w:rPr>
        <w:t>年</w:t>
      </w:r>
      <w:r>
        <w:rPr>
          <w:rFonts w:hint="eastAsia" w:ascii="Times New Roman" w:hAnsi="Times New Roman" w:eastAsia="仿宋_GB2312" w:cs="Times New Roman"/>
          <w:spacing w:val="-37"/>
          <w:lang w:eastAsia="zh-CN"/>
        </w:rPr>
        <w:t>4</w:t>
      </w:r>
      <w:r>
        <w:rPr>
          <w:rFonts w:ascii="Times New Roman" w:hAnsi="Times New Roman" w:eastAsia="仿宋_GB2312" w:cs="Times New Roman"/>
        </w:rPr>
        <w:t>月</w:t>
      </w:r>
      <w:r>
        <w:rPr>
          <w:rFonts w:hint="default" w:ascii="Times New Roman" w:hAnsi="Times New Roman" w:eastAsia="仿宋_GB2312" w:cs="Times New Roman"/>
          <w:spacing w:val="0"/>
          <w:lang w:eastAsia="zh-CN"/>
          <w:rPrChange w:id="0" w:author="陈湘鹏" w:date="2024-05-07T11:47:38Z">
            <w:rPr>
              <w:rFonts w:hint="eastAsia" w:ascii="Times New Roman" w:hAnsi="Times New Roman" w:eastAsia="仿宋_GB2312" w:cs="Times New Roman"/>
              <w:spacing w:val="-35"/>
              <w:lang w:eastAsia="zh-CN"/>
            </w:rPr>
          </w:rPrChange>
        </w:rPr>
        <w:t>2</w:t>
      </w:r>
      <w:del w:id="1" w:author="陈湘鹏" w:date="2024-05-07T11:47:34Z">
        <w:r>
          <w:rPr>
            <w:rFonts w:hint="default" w:ascii="Times New Roman" w:hAnsi="Times New Roman" w:eastAsia="仿宋_GB2312" w:cs="Times New Roman"/>
            <w:spacing w:val="0"/>
            <w:lang w:val="en-US" w:eastAsia="zh-CN"/>
            <w:rPrChange w:id="2" w:author="陈湘鹏" w:date="2024-05-07T11:47:38Z">
              <w:rPr>
                <w:rFonts w:hint="default" w:ascii="Times New Roman" w:hAnsi="Times New Roman" w:eastAsia="仿宋_GB2312" w:cs="Times New Roman"/>
                <w:spacing w:val="-35"/>
                <w:lang w:val="en-US" w:eastAsia="zh-CN"/>
              </w:rPr>
            </w:rPrChange>
          </w:rPr>
          <w:delText>3</w:delText>
        </w:r>
      </w:del>
      <w:ins w:id="4" w:author="陈湘鹏" w:date="2024-05-07T11:47:34Z">
        <w:r>
          <w:rPr>
            <w:rFonts w:hint="default" w:ascii="Times New Roman" w:hAnsi="Times New Roman" w:eastAsia="仿宋_GB2312" w:cs="Times New Roman"/>
            <w:spacing w:val="0"/>
            <w:lang w:val="en-US" w:eastAsia="zh-CN"/>
            <w:rPrChange w:id="5" w:author="陈湘鹏" w:date="2024-05-07T11:47:38Z">
              <w:rPr>
                <w:rFonts w:hint="eastAsia" w:ascii="Times New Roman" w:hAnsi="Times New Roman" w:eastAsia="仿宋_GB2312" w:cs="Times New Roman"/>
                <w:spacing w:val="-35"/>
                <w:lang w:val="en-US" w:eastAsia="zh-CN"/>
              </w:rPr>
            </w:rPrChange>
          </w:rPr>
          <w:t>4</w:t>
        </w:r>
      </w:ins>
      <w:r>
        <w:rPr>
          <w:rFonts w:ascii="Times New Roman" w:hAnsi="Times New Roman" w:eastAsia="仿宋_GB2312" w:cs="Times New Roman"/>
        </w:rPr>
        <w:t>日</w:t>
      </w:r>
    </w:p>
    <w:sectPr>
      <w:footerReference r:id="rId3" w:type="default"/>
      <w:pgSz w:w="11910" w:h="16840"/>
      <w:pgMar w:top="1520" w:right="1540" w:bottom="1160" w:left="1680"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18030">
    <w:altName w:val="仿宋"/>
    <w:panose1 w:val="02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Adobe 黑体 Std R">
    <w:panose1 w:val="020B0400000000000000"/>
    <w:charset w:val="80"/>
    <w:family w:val="swiss"/>
    <w:pitch w:val="default"/>
    <w:sig w:usb0="00000001" w:usb1="0A0F1810" w:usb2="00000016" w:usb3="00000000" w:csb0="00060007"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pict>
        <v:shape id="_x0000_s3073" o:spid="_x0000_s3073"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03" w:lineRule="exact"/>
                  <w:ind w:left="40"/>
                  <w:rPr>
                    <w:rFonts w:ascii="Calibri" w:hAnsi="Calibri" w:eastAsia="Calibri" w:cs="Calibri"/>
                    <w:sz w:val="18"/>
                    <w:szCs w:val="18"/>
                  </w:rPr>
                </w:pPr>
              </w:p>
            </w:txbxContent>
          </v:textbox>
        </v:shape>
      </w:pic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湘鹏">
    <w15:presenceInfo w15:providerId="None" w15:userId="陈湘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720"/>
  <w:drawingGridHorizontalSpacing w:val="110"/>
  <w:noPunctuationKerning w:val="1"/>
  <w:characterSpacingControl w:val="doNotCompress"/>
  <w:hdrShapeDefaults>
    <o:shapelayout v:ext="edit">
      <o:idmap v:ext="edit" data="1,3"/>
    </o:shapelayout>
  </w:hdrShapeDefaults>
  <w:compat>
    <w:ulTrailSpace/>
    <w:doNotExpandShiftReturn/>
    <w:doNotWrapTextWithPunct/>
    <w:doNotUseEastAsianBreakRules/>
    <w:useFELayout/>
    <w:doNotUseIndentAsNumberingTabStop/>
    <w:compatSetting w:name="compatibilityMode" w:uri="http://schemas.microsoft.com/office/word" w:val="12"/>
  </w:compat>
  <w:rsids>
    <w:rsidRoot w:val="00A9520B"/>
    <w:rsid w:val="00172995"/>
    <w:rsid w:val="005345D2"/>
    <w:rsid w:val="005518DE"/>
    <w:rsid w:val="0092055B"/>
    <w:rsid w:val="00A9520B"/>
    <w:rsid w:val="00AC3B33"/>
    <w:rsid w:val="00AF3BE9"/>
    <w:rsid w:val="00DA49F0"/>
    <w:rsid w:val="022A33E1"/>
    <w:rsid w:val="04654DC4"/>
    <w:rsid w:val="0822151D"/>
    <w:rsid w:val="08682950"/>
    <w:rsid w:val="08D87341"/>
    <w:rsid w:val="0BC12118"/>
    <w:rsid w:val="0C890300"/>
    <w:rsid w:val="0D630F89"/>
    <w:rsid w:val="161B7A15"/>
    <w:rsid w:val="162B00EE"/>
    <w:rsid w:val="16E50DE0"/>
    <w:rsid w:val="19977D8A"/>
    <w:rsid w:val="219E39B8"/>
    <w:rsid w:val="25477C36"/>
    <w:rsid w:val="29C73F17"/>
    <w:rsid w:val="2BE439BC"/>
    <w:rsid w:val="2F2F33BB"/>
    <w:rsid w:val="33085EB0"/>
    <w:rsid w:val="34394804"/>
    <w:rsid w:val="34CC172C"/>
    <w:rsid w:val="39A42B0C"/>
    <w:rsid w:val="3B8E0546"/>
    <w:rsid w:val="3D4536F5"/>
    <w:rsid w:val="44C311BC"/>
    <w:rsid w:val="46753A21"/>
    <w:rsid w:val="47EA5951"/>
    <w:rsid w:val="4FDC68BF"/>
    <w:rsid w:val="505F6CEB"/>
    <w:rsid w:val="54382FF3"/>
    <w:rsid w:val="54E02594"/>
    <w:rsid w:val="5EF369C2"/>
    <w:rsid w:val="5F7D66C9"/>
    <w:rsid w:val="63714235"/>
    <w:rsid w:val="6488303F"/>
    <w:rsid w:val="64ED2421"/>
    <w:rsid w:val="671A7149"/>
    <w:rsid w:val="6DB30687"/>
    <w:rsid w:val="6F8C3791"/>
    <w:rsid w:val="708E5910"/>
    <w:rsid w:val="747B57C1"/>
    <w:rsid w:val="75B44CF4"/>
    <w:rsid w:val="768B3F84"/>
    <w:rsid w:val="76910A96"/>
    <w:rsid w:val="78EA6370"/>
    <w:rsid w:val="7D5135A2"/>
    <w:rsid w:val="7E1D286D"/>
    <w:rsid w:val="7F32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unhideWhenUsed/>
    <w:qFormat/>
    <w:uiPriority w:val="0"/>
    <w:pPr>
      <w:keepNext/>
      <w:keepLines/>
      <w:spacing w:before="260" w:after="260" w:line="413" w:lineRule="auto"/>
      <w:jc w:val="both"/>
      <w:outlineLvl w:val="1"/>
    </w:pPr>
    <w:rPr>
      <w:rFonts w:ascii="Arial" w:hAnsi="Arial" w:eastAsia="黑体"/>
      <w:b/>
      <w:kern w:val="2"/>
      <w:sz w:val="32"/>
      <w:szCs w:val="24"/>
      <w:lang w:eastAsia="zh-CN"/>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Body Text"/>
    <w:basedOn w:val="1"/>
    <w:qFormat/>
    <w:uiPriority w:val="1"/>
    <w:pPr>
      <w:spacing w:before="35"/>
      <w:ind w:left="760"/>
    </w:pPr>
    <w:rPr>
      <w:rFonts w:ascii="Adobe 黑体 Std R" w:hAnsi="Adobe 黑体 Std R" w:eastAsia="Adobe 黑体 Std R"/>
      <w:sz w:val="32"/>
      <w:szCs w:val="32"/>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358</Words>
  <Characters>2041</Characters>
  <Lines>17</Lines>
  <Paragraphs>4</Paragraphs>
  <TotalTime>151</TotalTime>
  <ScaleCrop>false</ScaleCrop>
  <LinksUpToDate>false</LinksUpToDate>
  <CharactersWithSpaces>2395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陈湘鹏</cp:lastModifiedBy>
  <dcterms:modified xsi:type="dcterms:W3CDTF">2024-05-07T03:47:40Z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2052-11.8.2.11718</vt:lpwstr>
  </property>
  <property fmtid="{D5CDD505-2E9C-101B-9397-08002B2CF9AE}" pid="6" name="ICV">
    <vt:lpwstr>4DFBAE58533245A6A3E6FCA55C54D6E1</vt:lpwstr>
  </property>
</Properties>
</file>