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95" w:firstLineChars="200"/>
        <w:rPr>
          <w:rFonts w:hint="eastAsia" w:ascii="方正小标宋_GBK" w:hAnsi="方正小标宋_GBK" w:eastAsia="方正小标宋_GBK" w:cs="方正小标宋_GBK"/>
          <w:b/>
          <w:bCs/>
          <w:color w:val="auto"/>
          <w:w w:val="90"/>
          <w:sz w:val="44"/>
          <w:szCs w:val="44"/>
          <w:highlight w:val="none"/>
        </w:rPr>
      </w:pPr>
      <w:r>
        <w:rPr>
          <w:rFonts w:hint="eastAsia" w:ascii="方正小标宋_GBK" w:hAnsi="方正小标宋_GBK" w:eastAsia="方正小标宋_GBK" w:cs="方正小标宋_GBK"/>
          <w:b/>
          <w:bCs/>
          <w:color w:val="auto"/>
          <w:w w:val="90"/>
          <w:sz w:val="44"/>
          <w:szCs w:val="44"/>
          <w:highlight w:val="none"/>
        </w:rPr>
        <w:t>2024年广州市花都区城区小学招生工作细则</w:t>
      </w:r>
    </w:p>
    <w:p>
      <w:pPr>
        <w:spacing w:line="560" w:lineRule="exact"/>
        <w:jc w:val="center"/>
        <w:rPr>
          <w:rFonts w:hint="eastAsia" w:ascii="宋体" w:hAnsi="宋体" w:cs="宋体"/>
          <w:b/>
          <w:bCs/>
          <w:color w:val="auto"/>
          <w:sz w:val="44"/>
          <w:szCs w:val="44"/>
          <w:highlight w:val="none"/>
        </w:rPr>
      </w:pPr>
    </w:p>
    <w:p>
      <w:pPr>
        <w:widowControl/>
        <w:adjustRightInd w:val="0"/>
        <w:snapToGrid w:val="0"/>
        <w:spacing w:line="360" w:lineRule="auto"/>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根据《广州市教育局关于印发广州市义务教育学校招生工作指导意见的通知》（穗教规字〔2021〕3号）和</w:t>
      </w:r>
      <w:r>
        <w:rPr>
          <w:rFonts w:hint="eastAsia" w:ascii="仿宋_GB2312" w:hAnsi="仿宋_GB2312" w:eastAsia="仿宋_GB2312" w:cs="仿宋_GB2312"/>
          <w:bCs/>
          <w:color w:val="auto"/>
          <w:kern w:val="0"/>
          <w:sz w:val="32"/>
          <w:szCs w:val="32"/>
          <w:highlight w:val="none"/>
        </w:rPr>
        <w:t>《2024年广州市花都区义务教育学校招生工作方案》</w:t>
      </w:r>
      <w:r>
        <w:rPr>
          <w:rFonts w:hint="eastAsia" w:ascii="仿宋_GB2312" w:hAnsi="仿宋_GB2312" w:eastAsia="仿宋_GB2312" w:cs="仿宋_GB2312"/>
          <w:color w:val="auto"/>
          <w:sz w:val="32"/>
          <w:szCs w:val="32"/>
          <w:highlight w:val="none"/>
        </w:rPr>
        <w:t>等文件精神，为保障城区招生工作顺利、依法开展，结合辖区生源和教育资源分布状况，制定本细则。</w:t>
      </w:r>
    </w:p>
    <w:p>
      <w:pPr>
        <w:spacing w:line="360" w:lineRule="auto"/>
        <w:ind w:firstLine="640" w:firstLineChars="20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一、基本原则</w:t>
      </w:r>
    </w:p>
    <w:p>
      <w:pPr>
        <w:widowControl/>
        <w:tabs>
          <w:tab w:val="left" w:pos="1440"/>
        </w:tabs>
        <w:snapToGrid w:val="0"/>
        <w:spacing w:line="360" w:lineRule="auto"/>
        <w:ind w:right="0" w:firstLine="640" w:firstLineChars="200"/>
        <w:jc w:val="left"/>
        <w:rPr>
          <w:rFonts w:hint="eastAsia" w:ascii="仿宋" w:hAnsi="仿宋" w:eastAsia="仿宋" w:cs="宋体"/>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城区公办小学招生坚持免试就近入学原则，确保满足本辖区户籍适龄儿童的入学需求，严禁以考试或任何变相考试形式进行招生。</w:t>
      </w:r>
    </w:p>
    <w:p>
      <w:pPr>
        <w:widowControl/>
        <w:tabs>
          <w:tab w:val="left" w:pos="1440"/>
        </w:tabs>
        <w:snapToGrid w:val="0"/>
        <w:spacing w:line="360" w:lineRule="auto"/>
        <w:ind w:right="0" w:firstLine="640" w:firstLineChars="200"/>
        <w:jc w:val="left"/>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二、招生对象和类别</w:t>
      </w:r>
    </w:p>
    <w:p>
      <w:pPr>
        <w:snapToGrid w:val="0"/>
        <w:spacing w:line="360" w:lineRule="auto"/>
        <w:ind w:left="0" w:leftChars="0" w:firstLine="643" w:firstLineChars="200"/>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（一）招生对象</w:t>
      </w:r>
    </w:p>
    <w:p>
      <w:pPr>
        <w:widowControl/>
        <w:tabs>
          <w:tab w:val="left" w:pos="1440"/>
        </w:tabs>
        <w:snapToGrid w:val="0"/>
        <w:spacing w:line="360" w:lineRule="auto"/>
        <w:ind w:right="0" w:firstLine="640" w:firstLineChars="200"/>
        <w:jc w:val="left"/>
        <w:rPr>
          <w:rFonts w:ascii="仿宋_GB2312" w:hAnsi="仿宋_GB2312" w:eastAsia="仿宋_GB2312" w:cs="仿宋_GB2312"/>
          <w:bCs/>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凡具有中华人民共和国国籍、当年8月31日（含8月31日）前年满6周岁的儿童，不分性别、民族、种族、家庭财产状况、宗教信仰等，应当入学接受规定年限的义务教育。</w:t>
      </w:r>
    </w:p>
    <w:p>
      <w:pPr>
        <w:snapToGrid w:val="0"/>
        <w:spacing w:line="360" w:lineRule="auto"/>
        <w:ind w:left="0" w:leftChars="0"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（二）招生类别</w:t>
      </w:r>
    </w:p>
    <w:p>
      <w:pPr>
        <w:widowControl/>
        <w:snapToGrid w:val="0"/>
        <w:spacing w:line="360" w:lineRule="auto"/>
        <w:ind w:right="0" w:firstLine="643" w:firstLineChars="200"/>
        <w:jc w:val="left"/>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1.地段生</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（1）符合“人户一致”条件的适龄儿童，原则上安排入读户口地址所在地对口的公办小学。“人户一致”是指：</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①儿童户籍地址与其父母或</w:t>
      </w:r>
      <w:r>
        <w:rPr>
          <w:rFonts w:hint="eastAsia" w:ascii="仿宋_GB2312" w:hAnsi="仿宋_GB2312" w:eastAsia="仿宋_GB2312" w:cs="仿宋_GB2312"/>
          <w:color w:val="auto"/>
          <w:kern w:val="0"/>
          <w:sz w:val="32"/>
          <w:szCs w:val="32"/>
          <w:highlight w:val="none"/>
          <w:lang w:eastAsia="zh-CN"/>
        </w:rPr>
        <w:t>其他</w:t>
      </w:r>
      <w:r>
        <w:rPr>
          <w:rFonts w:hint="eastAsia" w:ascii="仿宋_GB2312" w:hAnsi="仿宋_GB2312" w:eastAsia="仿宋_GB2312" w:cs="仿宋_GB2312"/>
          <w:color w:val="auto"/>
          <w:kern w:val="0"/>
          <w:sz w:val="32"/>
          <w:szCs w:val="32"/>
          <w:highlight w:val="none"/>
        </w:rPr>
        <w:t>法定</w:t>
      </w:r>
      <w:r>
        <w:rPr>
          <w:rFonts w:hint="eastAsia" w:ascii="仿宋_GB2312" w:hAnsi="仿宋_GB2312" w:eastAsia="仿宋_GB2312" w:cs="仿宋_GB2312"/>
          <w:color w:val="auto"/>
          <w:kern w:val="0"/>
          <w:sz w:val="32"/>
          <w:szCs w:val="32"/>
          <w:highlight w:val="none"/>
          <w:lang w:eastAsia="zh-CN"/>
        </w:rPr>
        <w:t>监护人</w:t>
      </w:r>
      <w:r>
        <w:rPr>
          <w:rFonts w:hint="eastAsia" w:ascii="仿宋_GB2312" w:hAnsi="仿宋_GB2312" w:eastAsia="仿宋_GB2312" w:cs="仿宋_GB2312"/>
          <w:color w:val="auto"/>
          <w:kern w:val="0"/>
          <w:sz w:val="32"/>
          <w:szCs w:val="32"/>
          <w:highlight w:val="none"/>
        </w:rPr>
        <w:t>（以下简称“</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”）所持房产证地址一致，要求</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占有房产份额的100%（</w:t>
      </w:r>
      <w:r>
        <w:rPr>
          <w:rFonts w:hint="eastAsia" w:ascii="仿宋_GB2312" w:hAnsi="仿宋_GB2312" w:eastAsia="仿宋_GB2312" w:cs="仿宋_GB2312"/>
          <w:bCs/>
          <w:color w:val="auto"/>
          <w:kern w:val="0"/>
          <w:sz w:val="32"/>
          <w:szCs w:val="32"/>
          <w:highlight w:val="none"/>
        </w:rPr>
        <w:t>以该房产的不动产权登记证书为准，或由法院出具的生效判决文书载明的为准</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bCs/>
          <w:color w:val="auto"/>
          <w:kern w:val="0"/>
          <w:sz w:val="32"/>
          <w:szCs w:val="32"/>
          <w:highlight w:val="none"/>
        </w:rPr>
        <w:t>。房产须为住宅性商品房，已办理不动产权登记或已网签，并交付使用。</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②儿童与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在花都区城区的唯一居住地是祖辈的房产，需符合:祖辈是直系亲属，儿童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在广州市没有单位分房、自购房、租房等，儿童、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和祖辈同户籍同住，即儿童、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和居住地产权所有者的祖辈在同一个户口本上且一同居住。</w:t>
      </w:r>
      <w:r>
        <w:rPr>
          <w:rFonts w:hint="eastAsia" w:ascii="仿宋_GB2312" w:hAnsi="仿宋_GB2312" w:eastAsia="仿宋_GB2312" w:cs="仿宋_GB2312"/>
          <w:bCs/>
          <w:color w:val="auto"/>
          <w:kern w:val="0"/>
          <w:sz w:val="32"/>
          <w:szCs w:val="32"/>
          <w:highlight w:val="none"/>
        </w:rPr>
        <w:t>房产须为住宅性商品房，已办理不动产权登记或已网签，并交付使用。</w:t>
      </w:r>
    </w:p>
    <w:p>
      <w:pPr>
        <w:spacing w:line="360" w:lineRule="auto"/>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rPr>
        <w:t>（2）花都区城区小学公办学校</w:t>
      </w:r>
      <w:r>
        <w:rPr>
          <w:rFonts w:hint="eastAsia" w:ascii="仿宋_GB2312" w:hAnsi="仿宋_GB2312" w:eastAsia="仿宋_GB2312" w:cs="仿宋_GB2312"/>
          <w:bCs/>
          <w:color w:val="auto"/>
          <w:sz w:val="32"/>
          <w:szCs w:val="32"/>
          <w:highlight w:val="none"/>
        </w:rPr>
        <w:t>定点对口招收的适龄儿童。</w:t>
      </w:r>
    </w:p>
    <w:p>
      <w:pPr>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属于城区小学定点招生范围的村籍适龄儿童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由定点对口的公办小学接收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详见附件</w:t>
      </w:r>
      <w:r>
        <w:rPr>
          <w:rFonts w:hint="eastAsia" w:ascii="仿宋_GB2312" w:hAnsi="仿宋_GB2312" w:eastAsia="仿宋_GB2312" w:cs="仿宋_GB2312"/>
          <w:color w:val="auto"/>
          <w:kern w:val="0"/>
          <w:sz w:val="32"/>
          <w:szCs w:val="32"/>
          <w:highlight w:val="none"/>
          <w:lang w:eastAsia="zh-CN"/>
        </w:rPr>
        <w:t>）。</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当符合“人户一致”条件适龄儿童属于以下四类情况时，由城区教育指导中心统筹安排学位：一是购买二手房业主，该居住单元原业主已有小孩在对口小学就读1-5年级的；二是网上报名截止后户籍才迁入房产所在地址的；三是当年网上报名截止后购买并于8月27日前办理不动产权登记或已进行网签的；四是不按规定依时办理报名手续的。</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就近入学并不意味着最近入学,公办小学招生地段</w:t>
      </w:r>
      <w:r>
        <w:rPr>
          <w:rFonts w:hint="eastAsia" w:ascii="仿宋_GB2312" w:hAnsi="仿宋_GB2312" w:eastAsia="仿宋_GB2312" w:cs="仿宋_GB2312"/>
          <w:bCs/>
          <w:color w:val="auto"/>
          <w:kern w:val="0"/>
          <w:sz w:val="32"/>
          <w:szCs w:val="32"/>
          <w:highlight w:val="none"/>
          <w:lang w:val="en-US" w:eastAsia="zh-CN"/>
        </w:rPr>
        <w:t>原则上为学生户籍地址与学校直线距离在</w:t>
      </w:r>
      <w:r>
        <w:rPr>
          <w:rFonts w:hint="eastAsia" w:ascii="仿宋_GB2312" w:hAnsi="仿宋_GB2312" w:eastAsia="仿宋_GB2312" w:cs="仿宋_GB2312"/>
          <w:bCs/>
          <w:color w:val="auto"/>
          <w:kern w:val="0"/>
          <w:sz w:val="32"/>
          <w:szCs w:val="32"/>
          <w:highlight w:val="none"/>
        </w:rPr>
        <w:t>3公里</w:t>
      </w:r>
      <w:r>
        <w:rPr>
          <w:rFonts w:hint="eastAsia" w:ascii="仿宋_GB2312" w:hAnsi="仿宋_GB2312" w:eastAsia="仿宋_GB2312" w:cs="仿宋_GB2312"/>
          <w:bCs/>
          <w:color w:val="auto"/>
          <w:kern w:val="0"/>
          <w:sz w:val="32"/>
          <w:szCs w:val="32"/>
          <w:highlight w:val="none"/>
          <w:lang w:val="en-US" w:eastAsia="zh-CN"/>
        </w:rPr>
        <w:t>范围</w:t>
      </w:r>
      <w:r>
        <w:rPr>
          <w:rFonts w:hint="eastAsia" w:ascii="仿宋_GB2312" w:hAnsi="仿宋_GB2312" w:eastAsia="仿宋_GB2312" w:cs="仿宋_GB2312"/>
          <w:bCs/>
          <w:color w:val="auto"/>
          <w:kern w:val="0"/>
          <w:sz w:val="32"/>
          <w:szCs w:val="32"/>
          <w:highlight w:val="none"/>
        </w:rPr>
        <w:t>内。</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当学位需求数与学位供给计划存在严重不平衡的时候，原则上根据适龄儿童入户时间先后顺序安排入读对口学校。</w:t>
      </w:r>
    </w:p>
    <w:p>
      <w:pPr>
        <w:widowControl/>
        <w:snapToGrid w:val="0"/>
        <w:spacing w:line="360" w:lineRule="auto"/>
        <w:ind w:right="0" w:firstLine="643" w:firstLineChars="200"/>
        <w:jc w:val="left"/>
        <w:rPr>
          <w:rFonts w:hint="eastAsia" w:ascii="楷体" w:hAnsi="楷体" w:eastAsia="楷体" w:cs="楷体"/>
          <w:b/>
          <w:color w:val="auto"/>
          <w:kern w:val="0"/>
          <w:sz w:val="32"/>
          <w:szCs w:val="32"/>
          <w:highlight w:val="none"/>
        </w:rPr>
      </w:pPr>
      <w:r>
        <w:rPr>
          <w:rFonts w:hint="eastAsia" w:ascii="楷体" w:hAnsi="楷体" w:eastAsia="楷体" w:cs="楷体"/>
          <w:b/>
          <w:color w:val="auto"/>
          <w:kern w:val="0"/>
          <w:sz w:val="32"/>
          <w:szCs w:val="32"/>
          <w:highlight w:val="none"/>
        </w:rPr>
        <w:t>2.统筹生</w:t>
      </w:r>
    </w:p>
    <w:p>
      <w:pPr>
        <w:widowControl/>
        <w:snapToGrid w:val="0"/>
        <w:spacing w:line="360" w:lineRule="auto"/>
        <w:ind w:right="0"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广州市内户籍，</w:t>
      </w:r>
      <w:r>
        <w:rPr>
          <w:rFonts w:hint="eastAsia" w:ascii="仿宋_GB2312" w:hAnsi="仿宋_GB2312" w:eastAsia="仿宋_GB2312" w:cs="仿宋_GB2312"/>
          <w:bCs/>
          <w:color w:val="auto"/>
          <w:kern w:val="0"/>
          <w:sz w:val="32"/>
          <w:szCs w:val="32"/>
          <w:highlight w:val="none"/>
        </w:rPr>
        <w:t>不符合“人户一致”条件的</w:t>
      </w:r>
      <w:r>
        <w:rPr>
          <w:rFonts w:hint="eastAsia" w:ascii="仿宋_GB2312" w:hAnsi="仿宋_GB2312" w:eastAsia="仿宋_GB2312" w:cs="仿宋_GB2312"/>
          <w:bCs/>
          <w:color w:val="auto"/>
          <w:sz w:val="32"/>
          <w:szCs w:val="32"/>
          <w:highlight w:val="none"/>
        </w:rPr>
        <w:t>适龄儿童</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kern w:val="0"/>
          <w:sz w:val="32"/>
          <w:szCs w:val="32"/>
          <w:highlight w:val="none"/>
        </w:rPr>
        <w:t>由城区教育指导中心</w:t>
      </w:r>
      <w:r>
        <w:rPr>
          <w:rFonts w:hint="eastAsia" w:ascii="仿宋_GB2312" w:hAnsi="仿宋_GB2312" w:eastAsia="仿宋_GB2312" w:cs="仿宋_GB2312"/>
          <w:color w:val="auto"/>
          <w:kern w:val="0"/>
          <w:sz w:val="32"/>
          <w:szCs w:val="32"/>
          <w:highlight w:val="none"/>
        </w:rPr>
        <w:t>统筹安排学位</w:t>
      </w:r>
      <w:r>
        <w:rPr>
          <w:rFonts w:hint="eastAsia" w:ascii="仿宋_GB2312" w:hAnsi="仿宋_GB2312" w:eastAsia="仿宋_GB2312" w:cs="仿宋_GB2312"/>
          <w:bCs/>
          <w:color w:val="auto"/>
          <w:kern w:val="0"/>
          <w:sz w:val="32"/>
          <w:szCs w:val="32"/>
          <w:highlight w:val="none"/>
        </w:rPr>
        <w:t>。</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kern w:val="0"/>
          <w:sz w:val="32"/>
          <w:szCs w:val="32"/>
          <w:highlight w:val="none"/>
        </w:rPr>
        <w:t>第一类：具有花都区城区商品房户籍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但</w:t>
      </w:r>
      <w:r>
        <w:rPr>
          <w:rFonts w:hint="eastAsia" w:ascii="仿宋_GB2312" w:hAnsi="仿宋_GB2312" w:eastAsia="仿宋_GB2312" w:cs="仿宋_GB2312"/>
          <w:color w:val="auto"/>
          <w:kern w:val="0"/>
          <w:sz w:val="32"/>
          <w:szCs w:val="32"/>
          <w:highlight w:val="none"/>
          <w:lang w:val="en-US" w:eastAsia="zh-CN"/>
        </w:rPr>
        <w:t>法定监护人未持有</w:t>
      </w:r>
      <w:r>
        <w:rPr>
          <w:rFonts w:hint="eastAsia" w:ascii="仿宋_GB2312" w:hAnsi="仿宋_GB2312" w:eastAsia="仿宋_GB2312" w:cs="仿宋_GB2312"/>
          <w:bCs/>
          <w:color w:val="auto"/>
          <w:kern w:val="0"/>
          <w:sz w:val="32"/>
          <w:szCs w:val="32"/>
          <w:highlight w:val="none"/>
        </w:rPr>
        <w:t>户籍所属房产</w:t>
      </w:r>
      <w:r>
        <w:rPr>
          <w:rFonts w:hint="eastAsia" w:ascii="仿宋_GB2312" w:hAnsi="仿宋_GB2312" w:eastAsia="仿宋_GB2312" w:cs="仿宋_GB2312"/>
          <w:bCs/>
          <w:color w:val="auto"/>
          <w:kern w:val="0"/>
          <w:sz w:val="32"/>
          <w:szCs w:val="32"/>
          <w:highlight w:val="none"/>
          <w:lang w:val="en-US" w:eastAsia="zh-CN"/>
        </w:rPr>
        <w:t>100%产权份额，</w:t>
      </w:r>
      <w:r>
        <w:rPr>
          <w:rFonts w:hint="eastAsia" w:ascii="仿宋_GB2312" w:hAnsi="仿宋_GB2312" w:eastAsia="仿宋_GB2312" w:cs="仿宋_GB2312"/>
          <w:bCs/>
          <w:color w:val="auto"/>
          <w:kern w:val="0"/>
          <w:sz w:val="32"/>
          <w:szCs w:val="32"/>
          <w:highlight w:val="none"/>
        </w:rPr>
        <w:t>不符合“人户一致”条件的</w:t>
      </w:r>
      <w:r>
        <w:rPr>
          <w:rFonts w:hint="eastAsia" w:ascii="仿宋_GB2312" w:hAnsi="仿宋_GB2312" w:eastAsia="仿宋_GB2312" w:cs="仿宋_GB2312"/>
          <w:bCs/>
          <w:color w:val="auto"/>
          <w:sz w:val="32"/>
          <w:szCs w:val="32"/>
          <w:highlight w:val="none"/>
        </w:rPr>
        <w:t>适龄儿童</w:t>
      </w:r>
      <w:r>
        <w:rPr>
          <w:rFonts w:hint="eastAsia" w:ascii="仿宋_GB2312" w:hAnsi="仿宋_GB2312" w:eastAsia="仿宋_GB2312" w:cs="仿宋_GB2312"/>
          <w:bCs/>
          <w:color w:val="auto"/>
          <w:kern w:val="0"/>
          <w:sz w:val="32"/>
          <w:szCs w:val="32"/>
          <w:highlight w:val="none"/>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(1)不完全房产住户：适龄儿</w:t>
      </w:r>
      <w:r>
        <w:rPr>
          <w:rFonts w:hint="eastAsia" w:ascii="仿宋_GB2312" w:hAnsi="仿宋_GB2312" w:eastAsia="仿宋_GB2312" w:cs="仿宋_GB2312"/>
          <w:color w:val="auto"/>
          <w:kern w:val="0"/>
          <w:sz w:val="32"/>
          <w:szCs w:val="32"/>
          <w:highlight w:val="none"/>
        </w:rPr>
        <w:t>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没有拥有房产份额的100%，但适龄儿童实际居住地址与其户籍地址一致。</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(2)随非直系亲属住户：适龄儿童居住在非直系亲属的房产，该居住地为适龄儿童和其</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在花都区城区的唯一居住地（儿童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在广州没有单位分房、自购房、租房等）。</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租住户：</w:t>
      </w:r>
      <w:r>
        <w:rPr>
          <w:rFonts w:hint="eastAsia" w:ascii="仿宋_GB2312" w:hAnsi="仿宋_GB2312" w:eastAsia="仿宋_GB2312" w:cs="仿宋_GB2312"/>
          <w:color w:val="auto"/>
          <w:kern w:val="0"/>
          <w:sz w:val="32"/>
          <w:szCs w:val="32"/>
          <w:highlight w:val="none"/>
        </w:rPr>
        <w:t>适龄儿童的</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租住在城区</w:t>
      </w:r>
      <w:r>
        <w:rPr>
          <w:rFonts w:hint="eastAsia" w:ascii="仿宋_GB2312" w:hAnsi="仿宋_GB2312" w:eastAsia="仿宋_GB2312" w:cs="仿宋_GB2312"/>
          <w:bCs/>
          <w:color w:val="auto"/>
          <w:kern w:val="0"/>
          <w:sz w:val="32"/>
          <w:szCs w:val="32"/>
          <w:highlight w:val="none"/>
        </w:rPr>
        <w:t>住宅性商品房</w:t>
      </w:r>
      <w:r>
        <w:rPr>
          <w:rFonts w:hint="eastAsia" w:ascii="仿宋_GB2312" w:hAnsi="仿宋_GB2312" w:eastAsia="仿宋_GB2312" w:cs="仿宋_GB2312"/>
          <w:color w:val="auto"/>
          <w:kern w:val="0"/>
          <w:sz w:val="32"/>
          <w:szCs w:val="32"/>
          <w:highlight w:val="none"/>
        </w:rPr>
        <w:t>，且该住房为适龄儿童及</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在花都区的唯一居住地(在花都区内无其他房产）</w:t>
      </w:r>
      <w:r>
        <w:rPr>
          <w:rFonts w:hint="eastAsia" w:ascii="仿宋_GB2312" w:hAnsi="仿宋_GB2312" w:eastAsia="仿宋_GB2312" w:cs="仿宋_GB2312"/>
          <w:color w:val="auto"/>
          <w:sz w:val="32"/>
          <w:szCs w:val="32"/>
          <w:highlight w:val="none"/>
        </w:rPr>
        <w:t>且房屋</w:t>
      </w:r>
      <w:r>
        <w:rPr>
          <w:rFonts w:hint="eastAsia" w:ascii="仿宋_GB2312" w:hAnsi="仿宋_GB2312" w:eastAsia="仿宋_GB2312" w:cs="仿宋_GB2312"/>
          <w:bCs/>
          <w:color w:val="auto"/>
          <w:sz w:val="32"/>
          <w:szCs w:val="32"/>
          <w:highlight w:val="none"/>
        </w:rPr>
        <w:t>租</w:t>
      </w:r>
      <w:r>
        <w:rPr>
          <w:rFonts w:hint="eastAsia" w:ascii="仿宋_GB2312" w:hAnsi="仿宋_GB2312" w:eastAsia="仿宋_GB2312" w:cs="仿宋_GB2312"/>
          <w:color w:val="auto"/>
          <w:sz w:val="32"/>
          <w:szCs w:val="32"/>
          <w:highlight w:val="none"/>
        </w:rPr>
        <w:t>赁合同已经在街道出租屋中心登记备案，</w:t>
      </w:r>
      <w:r>
        <w:rPr>
          <w:rFonts w:hint="eastAsia" w:ascii="仿宋_GB2312" w:hAnsi="仿宋_GB2312" w:eastAsia="仿宋_GB2312" w:cs="仿宋_GB2312"/>
          <w:color w:val="auto"/>
          <w:kern w:val="0"/>
          <w:sz w:val="32"/>
          <w:szCs w:val="32"/>
          <w:highlight w:val="none"/>
        </w:rPr>
        <w:t>在招生报名时该住宅没有小孩在对口小学就读1－5年级</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color w:val="auto"/>
          <w:kern w:val="0"/>
          <w:sz w:val="32"/>
          <w:szCs w:val="32"/>
          <w:highlight w:val="none"/>
        </w:rPr>
        <w:t>需提供相关的租住凭据。</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)拆迁户：根据拆迁协议内容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由拆迁方提供居住地或领取拆迁补贴自行解决住地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并实际在城区范围居住的拆迁户子女，能提供拆迁协议和有效租赁合同并</w:t>
      </w:r>
      <w:r>
        <w:rPr>
          <w:rFonts w:hint="eastAsia" w:ascii="仿宋_GB2312" w:hAnsi="仿宋_GB2312" w:eastAsia="仿宋_GB2312" w:cs="仿宋_GB2312"/>
          <w:color w:val="auto"/>
          <w:kern w:val="0"/>
          <w:sz w:val="32"/>
          <w:szCs w:val="32"/>
          <w:highlight w:val="none"/>
          <w:lang w:eastAsia="zh-CN"/>
        </w:rPr>
        <w:t>登记</w:t>
      </w:r>
      <w:r>
        <w:rPr>
          <w:rFonts w:hint="eastAsia" w:ascii="仿宋_GB2312" w:hAnsi="仿宋_GB2312" w:eastAsia="仿宋_GB2312" w:cs="仿宋_GB2312"/>
          <w:color w:val="auto"/>
          <w:kern w:val="0"/>
          <w:sz w:val="32"/>
          <w:szCs w:val="32"/>
          <w:highlight w:val="none"/>
        </w:rPr>
        <w:t>备案，经核实确认现住址为适龄儿童与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在花都区城区的唯一居住地的。</w:t>
      </w:r>
    </w:p>
    <w:p>
      <w:pPr>
        <w:widowControl/>
        <w:spacing w:before="0" w:after="0" w:line="360" w:lineRule="auto"/>
        <w:ind w:firstLine="640" w:firstLineChars="200"/>
        <w:jc w:val="left"/>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第</w:t>
      </w:r>
      <w:r>
        <w:rPr>
          <w:rFonts w:hint="eastAsia" w:ascii="仿宋_GB2312" w:hAnsi="仿宋_GB2312" w:eastAsia="仿宋_GB2312" w:cs="仿宋_GB2312"/>
          <w:b w:val="0"/>
          <w:bCs/>
          <w:color w:val="auto"/>
          <w:sz w:val="32"/>
          <w:szCs w:val="32"/>
          <w:highlight w:val="none"/>
          <w:lang w:val="en-US" w:eastAsia="zh-CN"/>
        </w:rPr>
        <w:t>二</w:t>
      </w:r>
      <w:r>
        <w:rPr>
          <w:rFonts w:hint="eastAsia" w:ascii="仿宋_GB2312" w:hAnsi="仿宋_GB2312" w:eastAsia="仿宋_GB2312" w:cs="仿宋_GB2312"/>
          <w:b w:val="0"/>
          <w:bCs/>
          <w:color w:val="auto"/>
          <w:sz w:val="32"/>
          <w:szCs w:val="32"/>
          <w:highlight w:val="none"/>
        </w:rPr>
        <w:t>类：具有花都区城区内集体户户籍</w:t>
      </w:r>
      <w:r>
        <w:rPr>
          <w:rFonts w:hint="eastAsia" w:ascii="仿宋_GB2312" w:hAnsi="仿宋_GB2312" w:eastAsia="仿宋_GB2312" w:cs="仿宋_GB2312"/>
          <w:b w:val="0"/>
          <w:bCs/>
          <w:color w:val="auto"/>
          <w:sz w:val="32"/>
          <w:szCs w:val="32"/>
          <w:highlight w:val="none"/>
          <w:lang w:val="en-US" w:eastAsia="zh-CN"/>
        </w:rPr>
        <w:t>的适龄儿童。</w:t>
      </w:r>
    </w:p>
    <w:p>
      <w:pPr>
        <w:widowControl/>
        <w:spacing w:before="0" w:after="0" w:line="360" w:lineRule="auto"/>
        <w:ind w:firstLine="640" w:firstLineChars="200"/>
        <w:jc w:val="left"/>
        <w:rPr>
          <w:rFonts w:hint="eastAsia"/>
          <w:color w:val="auto"/>
          <w:highlight w:val="none"/>
        </w:rPr>
      </w:pPr>
      <w:r>
        <w:rPr>
          <w:rFonts w:hint="eastAsia" w:ascii="仿宋_GB2312" w:hAnsi="仿宋_GB2312" w:eastAsia="仿宋_GB2312" w:cs="仿宋_GB2312"/>
          <w:b w:val="0"/>
          <w:bCs/>
          <w:color w:val="auto"/>
          <w:sz w:val="32"/>
          <w:szCs w:val="32"/>
          <w:highlight w:val="none"/>
        </w:rPr>
        <w:t>适龄儿童及法定监护人均属花都区城区非农村集体户并实际居住在城区范围，集体户口地址与实际居住地址不一致的可申请入读居住地址附近学校，需提供居住地</w:t>
      </w:r>
      <w:r>
        <w:rPr>
          <w:rFonts w:hint="eastAsia" w:ascii="仿宋_GB2312" w:hAnsi="仿宋_GB2312" w:eastAsia="仿宋_GB2312" w:cs="仿宋_GB2312"/>
          <w:b w:val="0"/>
          <w:bCs/>
          <w:color w:val="auto"/>
          <w:sz w:val="32"/>
          <w:szCs w:val="32"/>
          <w:highlight w:val="none"/>
          <w:lang w:val="en-US" w:eastAsia="zh-CN"/>
        </w:rPr>
        <w:t>佐证</w:t>
      </w:r>
      <w:r>
        <w:rPr>
          <w:rFonts w:hint="eastAsia" w:ascii="仿宋_GB2312" w:hAnsi="仿宋_GB2312" w:eastAsia="仿宋_GB2312" w:cs="仿宋_GB2312"/>
          <w:b w:val="0"/>
          <w:bCs/>
          <w:color w:val="auto"/>
          <w:sz w:val="32"/>
          <w:szCs w:val="32"/>
          <w:highlight w:val="none"/>
        </w:rPr>
        <w:t>材料。</w:t>
      </w:r>
    </w:p>
    <w:p>
      <w:pPr>
        <w:widowControl/>
        <w:spacing w:line="360" w:lineRule="auto"/>
        <w:ind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三</w:t>
      </w:r>
      <w:r>
        <w:rPr>
          <w:rFonts w:hint="eastAsia" w:ascii="仿宋_GB2312" w:hAnsi="仿宋_GB2312" w:eastAsia="仿宋_GB2312" w:cs="仿宋_GB2312"/>
          <w:bCs/>
          <w:color w:val="auto"/>
          <w:kern w:val="0"/>
          <w:sz w:val="32"/>
          <w:szCs w:val="32"/>
          <w:highlight w:val="none"/>
        </w:rPr>
        <w:t>类：</w:t>
      </w:r>
      <w:r>
        <w:rPr>
          <w:rFonts w:hint="eastAsia" w:ascii="仿宋_GB2312" w:hAnsi="仿宋_GB2312" w:eastAsia="仿宋_GB2312" w:cs="仿宋_GB2312"/>
          <w:bCs/>
          <w:color w:val="auto"/>
          <w:sz w:val="32"/>
          <w:szCs w:val="32"/>
          <w:highlight w:val="none"/>
        </w:rPr>
        <w:t>具有花都区城区内农村户籍（即户籍受管辖于行政村）</w:t>
      </w:r>
      <w:r>
        <w:rPr>
          <w:rFonts w:hint="eastAsia" w:ascii="仿宋_GB2312" w:hAnsi="仿宋_GB2312" w:eastAsia="仿宋_GB2312" w:cs="仿宋_GB2312"/>
          <w:bCs/>
          <w:color w:val="auto"/>
          <w:sz w:val="32"/>
          <w:szCs w:val="32"/>
          <w:highlight w:val="none"/>
          <w:lang w:val="en-US" w:eastAsia="zh-CN"/>
        </w:rPr>
        <w:t>或</w:t>
      </w:r>
      <w:r>
        <w:rPr>
          <w:rFonts w:hint="eastAsia" w:ascii="仿宋_GB2312" w:hAnsi="仿宋_GB2312" w:eastAsia="仿宋_GB2312" w:cs="仿宋_GB2312"/>
          <w:bCs/>
          <w:color w:val="auto"/>
          <w:sz w:val="32"/>
          <w:szCs w:val="32"/>
          <w:highlight w:val="none"/>
        </w:rPr>
        <w:t>城区外</w:t>
      </w:r>
      <w:r>
        <w:rPr>
          <w:rFonts w:hint="eastAsia" w:ascii="仿宋_GB2312" w:hAnsi="仿宋_GB2312" w:eastAsia="仿宋_GB2312" w:cs="仿宋_GB2312"/>
          <w:bCs/>
          <w:color w:val="auto"/>
          <w:sz w:val="32"/>
          <w:szCs w:val="32"/>
          <w:highlight w:val="none"/>
          <w:lang w:val="en-US" w:eastAsia="zh-CN"/>
        </w:rPr>
        <w:t>穗籍的</w:t>
      </w:r>
      <w:r>
        <w:rPr>
          <w:rFonts w:hint="eastAsia" w:ascii="仿宋_GB2312" w:hAnsi="仿宋_GB2312" w:eastAsia="仿宋_GB2312" w:cs="仿宋_GB2312"/>
          <w:bCs/>
          <w:color w:val="auto"/>
          <w:kern w:val="0"/>
          <w:sz w:val="32"/>
          <w:szCs w:val="32"/>
          <w:highlight w:val="none"/>
        </w:rPr>
        <w:t>适龄儿童</w:t>
      </w:r>
      <w:r>
        <w:rPr>
          <w:rFonts w:hint="eastAsia" w:ascii="仿宋_GB2312" w:hAnsi="仿宋_GB2312" w:eastAsia="仿宋_GB2312" w:cs="仿宋_GB2312"/>
          <w:bCs/>
          <w:color w:val="auto"/>
          <w:sz w:val="32"/>
          <w:szCs w:val="32"/>
          <w:highlight w:val="none"/>
        </w:rPr>
        <w:t>。</w:t>
      </w:r>
    </w:p>
    <w:p>
      <w:pPr>
        <w:widowControl/>
        <w:spacing w:line="360" w:lineRule="auto"/>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(1)</w:t>
      </w:r>
      <w:r>
        <w:rPr>
          <w:rFonts w:hint="eastAsia" w:ascii="仿宋_GB2312" w:hAnsi="仿宋_GB2312" w:eastAsia="仿宋_GB2312" w:cs="仿宋_GB2312"/>
          <w:bCs/>
          <w:color w:val="auto"/>
          <w:sz w:val="32"/>
          <w:szCs w:val="32"/>
          <w:highlight w:val="none"/>
        </w:rPr>
        <w:t>其</w:t>
      </w:r>
      <w:r>
        <w:rPr>
          <w:rFonts w:hint="eastAsia" w:ascii="仿宋_GB2312" w:hAnsi="仿宋_GB2312" w:eastAsia="仿宋_GB2312" w:cs="仿宋_GB2312"/>
          <w:bCs/>
          <w:color w:val="auto"/>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在</w:t>
      </w:r>
      <w:r>
        <w:rPr>
          <w:rFonts w:hint="eastAsia" w:ascii="仿宋_GB2312" w:hAnsi="仿宋_GB2312" w:eastAsia="仿宋_GB2312" w:cs="仿宋_GB2312"/>
          <w:bCs/>
          <w:color w:val="auto"/>
          <w:sz w:val="32"/>
          <w:szCs w:val="32"/>
          <w:highlight w:val="none"/>
        </w:rPr>
        <w:t>城区范围有自主房产（</w:t>
      </w:r>
      <w:r>
        <w:rPr>
          <w:rFonts w:hint="eastAsia" w:ascii="仿宋_GB2312" w:hAnsi="仿宋_GB2312" w:eastAsia="仿宋_GB2312" w:cs="仿宋_GB2312"/>
          <w:bCs/>
          <w:color w:val="auto"/>
          <w:kern w:val="0"/>
          <w:sz w:val="32"/>
          <w:szCs w:val="32"/>
          <w:highlight w:val="none"/>
        </w:rPr>
        <w:t>房产须为住宅性商品房，已办理不动产权登记或已网签，并交付使用）</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kern w:val="0"/>
          <w:sz w:val="32"/>
          <w:szCs w:val="32"/>
          <w:highlight w:val="none"/>
        </w:rPr>
        <w:t>适龄儿童与</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拥有房产的100%份额。</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(2)适龄儿童居住在</w:t>
      </w:r>
      <w:r>
        <w:rPr>
          <w:rFonts w:hint="eastAsia" w:ascii="仿宋_GB2312" w:hAnsi="仿宋_GB2312" w:eastAsia="仿宋_GB2312" w:cs="仿宋_GB2312"/>
          <w:color w:val="auto"/>
          <w:kern w:val="0"/>
          <w:sz w:val="32"/>
          <w:szCs w:val="32"/>
          <w:highlight w:val="none"/>
        </w:rPr>
        <w:t>祖辈（直系亲属）</w:t>
      </w:r>
      <w:r>
        <w:rPr>
          <w:rFonts w:hint="eastAsia" w:ascii="仿宋_GB2312" w:hAnsi="仿宋_GB2312" w:eastAsia="仿宋_GB2312" w:cs="仿宋_GB2312"/>
          <w:bCs/>
          <w:color w:val="auto"/>
          <w:kern w:val="0"/>
          <w:sz w:val="32"/>
          <w:szCs w:val="32"/>
          <w:highlight w:val="none"/>
        </w:rPr>
        <w:t>的</w:t>
      </w:r>
      <w:r>
        <w:rPr>
          <w:rFonts w:hint="eastAsia" w:ascii="仿宋_GB2312" w:hAnsi="仿宋_GB2312" w:eastAsia="仿宋_GB2312" w:cs="仿宋_GB2312"/>
          <w:bCs/>
          <w:color w:val="auto"/>
          <w:kern w:val="0"/>
          <w:sz w:val="32"/>
          <w:szCs w:val="32"/>
          <w:highlight w:val="none"/>
          <w:lang w:val="en-US" w:eastAsia="zh-CN"/>
        </w:rPr>
        <w:t>商品房</w:t>
      </w:r>
      <w:r>
        <w:rPr>
          <w:rFonts w:hint="eastAsia" w:ascii="仿宋_GB2312" w:hAnsi="仿宋_GB2312" w:eastAsia="仿宋_GB2312" w:cs="仿宋_GB2312"/>
          <w:color w:val="auto"/>
          <w:kern w:val="0"/>
          <w:sz w:val="32"/>
          <w:szCs w:val="32"/>
          <w:highlight w:val="none"/>
        </w:rPr>
        <w:t>，经核实确认现住址为适龄儿童与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在广州市内唯一居住地的，儿童、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和祖辈同户籍同住，即儿童、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和居住地产权所有者的祖辈在同一个户口本上且一同居住。</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 w:val="0"/>
          <w:bCs/>
          <w:color w:val="auto"/>
          <w:sz w:val="32"/>
          <w:szCs w:val="32"/>
          <w:highlight w:val="none"/>
          <w:lang w:val="en-US" w:eastAsia="zh-CN"/>
        </w:rPr>
        <w:t>法定监护人</w:t>
      </w:r>
      <w:r>
        <w:rPr>
          <w:rFonts w:hint="eastAsia" w:ascii="仿宋_GB2312" w:hAnsi="仿宋_GB2312" w:eastAsia="仿宋_GB2312" w:cs="仿宋_GB2312"/>
          <w:bCs/>
          <w:color w:val="auto"/>
          <w:sz w:val="32"/>
          <w:szCs w:val="32"/>
          <w:highlight w:val="none"/>
        </w:rPr>
        <w:t>在广州市无自有产权住房</w:t>
      </w:r>
      <w:r>
        <w:rPr>
          <w:rFonts w:hint="eastAsia" w:ascii="仿宋_GB2312" w:hAnsi="仿宋_GB2312" w:eastAsia="仿宋_GB2312" w:cs="仿宋_GB2312"/>
          <w:color w:val="auto"/>
          <w:sz w:val="32"/>
          <w:szCs w:val="32"/>
          <w:highlight w:val="none"/>
        </w:rPr>
        <w:t>(含城乡自建房)</w:t>
      </w:r>
      <w:r>
        <w:rPr>
          <w:rFonts w:hint="eastAsia" w:ascii="仿宋_GB2312" w:hAnsi="仿宋_GB2312" w:eastAsia="仿宋_GB2312" w:cs="仿宋_GB2312"/>
          <w:bCs/>
          <w:color w:val="auto"/>
          <w:sz w:val="32"/>
          <w:szCs w:val="32"/>
          <w:highlight w:val="none"/>
        </w:rPr>
        <w:t>，以</w:t>
      </w:r>
      <w:r>
        <w:rPr>
          <w:rFonts w:hint="eastAsia" w:ascii="仿宋_GB2312" w:hAnsi="仿宋_GB2312" w:eastAsia="仿宋_GB2312" w:cs="仿宋_GB2312"/>
          <w:bCs/>
          <w:color w:val="auto"/>
          <w:sz w:val="32"/>
          <w:szCs w:val="32"/>
          <w:highlight w:val="none"/>
          <w:lang w:eastAsia="zh-CN"/>
        </w:rPr>
        <w:t>法定监护人</w:t>
      </w:r>
      <w:r>
        <w:rPr>
          <w:rFonts w:hint="eastAsia" w:ascii="仿宋_GB2312" w:hAnsi="仿宋_GB2312" w:eastAsia="仿宋_GB2312" w:cs="仿宋_GB2312"/>
          <w:bCs/>
          <w:color w:val="auto"/>
          <w:sz w:val="32"/>
          <w:szCs w:val="32"/>
          <w:highlight w:val="none"/>
        </w:rPr>
        <w:t>租</w:t>
      </w:r>
      <w:r>
        <w:rPr>
          <w:rFonts w:hint="eastAsia" w:ascii="仿宋_GB2312" w:hAnsi="仿宋_GB2312" w:eastAsia="仿宋_GB2312" w:cs="仿宋_GB2312"/>
          <w:color w:val="auto"/>
          <w:sz w:val="32"/>
          <w:szCs w:val="32"/>
          <w:highlight w:val="none"/>
        </w:rPr>
        <w:t>赁有效产权房屋所在地作为唯一居住地且房屋</w:t>
      </w:r>
      <w:r>
        <w:rPr>
          <w:rFonts w:hint="eastAsia" w:ascii="仿宋_GB2312" w:hAnsi="仿宋_GB2312" w:eastAsia="仿宋_GB2312" w:cs="仿宋_GB2312"/>
          <w:bCs/>
          <w:color w:val="auto"/>
          <w:sz w:val="32"/>
          <w:szCs w:val="32"/>
          <w:highlight w:val="none"/>
        </w:rPr>
        <w:t>租</w:t>
      </w:r>
      <w:r>
        <w:rPr>
          <w:rFonts w:hint="eastAsia" w:ascii="仿宋_GB2312" w:hAnsi="仿宋_GB2312" w:eastAsia="仿宋_GB2312" w:cs="仿宋_GB2312"/>
          <w:color w:val="auto"/>
          <w:sz w:val="32"/>
          <w:szCs w:val="32"/>
          <w:highlight w:val="none"/>
        </w:rPr>
        <w:t>赁合同已经在街道出租屋中心登记连续备案满一年以上（即必须在2023年3月31日前备案），申请时租赁合同在有效状态</w:t>
      </w:r>
      <w:r>
        <w:rPr>
          <w:rFonts w:hint="eastAsia" w:ascii="仿宋_GB2312" w:hAnsi="仿宋_GB2312" w:eastAsia="仿宋_GB2312" w:cs="仿宋_GB2312"/>
          <w:bCs/>
          <w:color w:val="auto"/>
          <w:kern w:val="0"/>
          <w:sz w:val="32"/>
          <w:szCs w:val="32"/>
          <w:highlight w:val="none"/>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)拆迁户：根据拆迁协议内容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由拆迁方提供居住地或领取拆迁补贴自行解决住地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并实际在城区范围居住的拆迁户子女，能提供拆迁协议和有效租赁合同并</w:t>
      </w:r>
      <w:r>
        <w:rPr>
          <w:rFonts w:hint="eastAsia" w:ascii="仿宋_GB2312" w:hAnsi="仿宋_GB2312" w:eastAsia="仿宋_GB2312" w:cs="仿宋_GB2312"/>
          <w:color w:val="auto"/>
          <w:kern w:val="0"/>
          <w:sz w:val="32"/>
          <w:szCs w:val="32"/>
          <w:highlight w:val="none"/>
          <w:lang w:eastAsia="zh-CN"/>
        </w:rPr>
        <w:t>登记</w:t>
      </w:r>
      <w:r>
        <w:rPr>
          <w:rFonts w:hint="eastAsia" w:ascii="仿宋_GB2312" w:hAnsi="仿宋_GB2312" w:eastAsia="仿宋_GB2312" w:cs="仿宋_GB2312"/>
          <w:color w:val="auto"/>
          <w:kern w:val="0"/>
          <w:sz w:val="32"/>
          <w:szCs w:val="32"/>
          <w:highlight w:val="none"/>
        </w:rPr>
        <w:t>备案，经核实确认现住址为适龄儿童与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在花都区城区的唯一居住地的。</w:t>
      </w:r>
    </w:p>
    <w:p>
      <w:pPr>
        <w:widowControl/>
        <w:spacing w:line="360" w:lineRule="auto"/>
        <w:ind w:firstLine="640" w:firstLineChars="200"/>
        <w:jc w:val="left"/>
        <w:rPr>
          <w:rFonts w:hint="eastAsia" w:ascii="仿宋_GB2312" w:hAnsi="仿宋_GB2312" w:eastAsia="仿宋_GB2312" w:cs="仿宋_GB2312"/>
          <w:b w:val="0"/>
          <w:bCs/>
          <w:color w:val="auto"/>
          <w:kern w:val="0"/>
          <w:sz w:val="32"/>
          <w:szCs w:val="32"/>
          <w:highlight w:val="none"/>
        </w:rPr>
      </w:pPr>
      <w:r>
        <w:rPr>
          <w:rFonts w:hint="eastAsia" w:ascii="仿宋_GB2312" w:hAnsi="仿宋_GB2312" w:eastAsia="仿宋_GB2312" w:cs="仿宋_GB2312"/>
          <w:bCs/>
          <w:color w:val="auto"/>
          <w:sz w:val="32"/>
          <w:szCs w:val="32"/>
          <w:highlight w:val="none"/>
        </w:rPr>
        <w:t>符合以上</w:t>
      </w:r>
      <w:r>
        <w:rPr>
          <w:rFonts w:hint="eastAsia" w:ascii="仿宋_GB2312" w:hAnsi="仿宋_GB2312" w:eastAsia="仿宋_GB2312" w:cs="仿宋_GB2312"/>
          <w:bCs/>
          <w:color w:val="auto"/>
          <w:sz w:val="32"/>
          <w:szCs w:val="32"/>
          <w:highlight w:val="none"/>
          <w:lang w:val="en-US" w:eastAsia="zh-CN"/>
        </w:rPr>
        <w:t>四</w:t>
      </w:r>
      <w:r>
        <w:rPr>
          <w:rFonts w:hint="eastAsia" w:ascii="仿宋_GB2312" w:hAnsi="仿宋_GB2312" w:eastAsia="仿宋_GB2312" w:cs="仿宋_GB2312"/>
          <w:bCs/>
          <w:color w:val="auto"/>
          <w:sz w:val="32"/>
          <w:szCs w:val="32"/>
          <w:highlight w:val="none"/>
        </w:rPr>
        <w:t>项条件之一的，还需满足</w:t>
      </w:r>
      <w:r>
        <w:rPr>
          <w:rFonts w:hint="eastAsia" w:ascii="仿宋_GB2312" w:hAnsi="仿宋_GB2312" w:eastAsia="仿宋_GB2312" w:cs="仿宋_GB2312"/>
          <w:color w:val="auto"/>
          <w:kern w:val="0"/>
          <w:sz w:val="32"/>
          <w:szCs w:val="32"/>
          <w:highlight w:val="none"/>
        </w:rPr>
        <w:t>在招生报名时该房产</w:t>
      </w:r>
      <w:r>
        <w:rPr>
          <w:rFonts w:hint="eastAsia" w:ascii="仿宋_GB2312" w:hAnsi="仿宋_GB2312" w:eastAsia="仿宋_GB2312" w:cs="仿宋_GB2312"/>
          <w:bCs/>
          <w:color w:val="auto"/>
          <w:kern w:val="0"/>
          <w:sz w:val="32"/>
          <w:szCs w:val="32"/>
          <w:highlight w:val="none"/>
        </w:rPr>
        <w:t>没</w:t>
      </w:r>
      <w:r>
        <w:rPr>
          <w:rFonts w:hint="eastAsia" w:ascii="仿宋_GB2312" w:hAnsi="仿宋_GB2312" w:eastAsia="仿宋_GB2312" w:cs="仿宋_GB2312"/>
          <w:b w:val="0"/>
          <w:bCs/>
          <w:color w:val="auto"/>
          <w:kern w:val="0"/>
          <w:sz w:val="32"/>
          <w:szCs w:val="32"/>
          <w:highlight w:val="none"/>
        </w:rPr>
        <w:t>有非同一</w:t>
      </w:r>
      <w:r>
        <w:rPr>
          <w:rFonts w:hint="eastAsia" w:ascii="仿宋_GB2312" w:hAnsi="仿宋_GB2312" w:eastAsia="仿宋_GB2312" w:cs="仿宋_GB2312"/>
          <w:b w:val="0"/>
          <w:bCs/>
          <w:color w:val="auto"/>
          <w:kern w:val="0"/>
          <w:sz w:val="32"/>
          <w:szCs w:val="32"/>
          <w:highlight w:val="none"/>
          <w:lang w:eastAsia="zh-CN"/>
        </w:rPr>
        <w:t>法定监护人</w:t>
      </w:r>
      <w:r>
        <w:rPr>
          <w:rFonts w:hint="eastAsia" w:ascii="仿宋_GB2312" w:hAnsi="仿宋_GB2312" w:eastAsia="仿宋_GB2312" w:cs="仿宋_GB2312"/>
          <w:b w:val="0"/>
          <w:bCs/>
          <w:color w:val="auto"/>
          <w:kern w:val="0"/>
          <w:sz w:val="32"/>
          <w:szCs w:val="32"/>
          <w:highlight w:val="none"/>
        </w:rPr>
        <w:t>的小孩在对口小学就读1-5年级的。</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四</w:t>
      </w:r>
      <w:r>
        <w:rPr>
          <w:rFonts w:hint="eastAsia" w:ascii="仿宋_GB2312" w:hAnsi="仿宋_GB2312" w:eastAsia="仿宋_GB2312" w:cs="仿宋_GB2312"/>
          <w:bCs/>
          <w:color w:val="auto"/>
          <w:kern w:val="0"/>
          <w:sz w:val="32"/>
          <w:szCs w:val="32"/>
          <w:highlight w:val="none"/>
        </w:rPr>
        <w:t>类：符合广州市政策性照顾生条件的适龄儿童。</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符合广州市政策性照顾学生条件，可持有关材料向花都区教育局城区教育指导中心申请入学，由指导中心统筹安排公办小学学位，具体请参考《</w:t>
      </w:r>
      <w:r>
        <w:rPr>
          <w:rFonts w:hint="eastAsia" w:ascii="仿宋_GB2312" w:hAnsi="仿宋_GB2312" w:eastAsia="仿宋_GB2312" w:cs="仿宋_GB2312"/>
          <w:color w:val="auto"/>
          <w:sz w:val="32"/>
          <w:szCs w:val="32"/>
          <w:highlight w:val="none"/>
        </w:rPr>
        <w:t>广州市义务教育阶段政策性照顾学生清单》。</w:t>
      </w:r>
    </w:p>
    <w:p>
      <w:pPr>
        <w:widowControl/>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五</w:t>
      </w:r>
      <w:r>
        <w:rPr>
          <w:rFonts w:hint="eastAsia" w:ascii="仿宋_GB2312" w:hAnsi="仿宋_GB2312" w:eastAsia="仿宋_GB2312" w:cs="仿宋_GB2312"/>
          <w:bCs/>
          <w:color w:val="auto"/>
          <w:kern w:val="0"/>
          <w:sz w:val="32"/>
          <w:szCs w:val="32"/>
          <w:highlight w:val="none"/>
        </w:rPr>
        <w:t>类：</w:t>
      </w:r>
      <w:r>
        <w:rPr>
          <w:rFonts w:hint="eastAsia" w:ascii="仿宋_GB2312" w:hAnsi="仿宋_GB2312" w:eastAsia="仿宋_GB2312" w:cs="仿宋_GB2312"/>
          <w:color w:val="auto"/>
          <w:kern w:val="0"/>
          <w:sz w:val="32"/>
          <w:szCs w:val="32"/>
          <w:highlight w:val="none"/>
        </w:rPr>
        <w:t>符合花都区政策性照顾条件</w:t>
      </w:r>
      <w:r>
        <w:rPr>
          <w:rFonts w:hint="eastAsia" w:ascii="仿宋_GB2312" w:hAnsi="仿宋_GB2312" w:eastAsia="仿宋_GB2312" w:cs="仿宋_GB2312"/>
          <w:color w:val="auto"/>
          <w:kern w:val="0"/>
          <w:sz w:val="32"/>
          <w:szCs w:val="32"/>
          <w:highlight w:val="none"/>
          <w:lang w:val="en-US" w:eastAsia="zh-CN"/>
        </w:rPr>
        <w:t>或</w:t>
      </w:r>
      <w:r>
        <w:rPr>
          <w:rFonts w:hint="eastAsia" w:ascii="仿宋_GB2312" w:hAnsi="仿宋_GB2312" w:eastAsia="仿宋_GB2312" w:cs="仿宋_GB2312"/>
          <w:bCs/>
          <w:color w:val="auto"/>
          <w:kern w:val="0"/>
          <w:sz w:val="32"/>
          <w:szCs w:val="32"/>
          <w:highlight w:val="none"/>
        </w:rPr>
        <w:t>区域配套公办小学</w:t>
      </w:r>
      <w:r>
        <w:rPr>
          <w:rFonts w:hint="eastAsia" w:ascii="仿宋_GB2312" w:hAnsi="仿宋_GB2312" w:eastAsia="仿宋_GB2312" w:cs="仿宋_GB2312"/>
          <w:bCs/>
          <w:color w:val="auto"/>
          <w:kern w:val="0"/>
          <w:sz w:val="32"/>
          <w:szCs w:val="32"/>
          <w:highlight w:val="none"/>
          <w:lang w:val="en-US" w:eastAsia="zh-CN"/>
        </w:rPr>
        <w:t>条件</w:t>
      </w:r>
      <w:r>
        <w:rPr>
          <w:rFonts w:hint="eastAsia" w:ascii="仿宋_GB2312" w:hAnsi="仿宋_GB2312" w:eastAsia="仿宋_GB2312" w:cs="仿宋_GB2312"/>
          <w:color w:val="auto"/>
          <w:kern w:val="0"/>
          <w:sz w:val="32"/>
          <w:szCs w:val="32"/>
          <w:highlight w:val="none"/>
        </w:rPr>
        <w:t>的适龄儿童。</w:t>
      </w:r>
    </w:p>
    <w:p>
      <w:pPr>
        <w:adjustRightInd w:val="0"/>
        <w:snapToGrid w:val="0"/>
        <w:spacing w:line="360" w:lineRule="auto"/>
        <w:ind w:right="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具体参照</w:t>
      </w:r>
      <w:r>
        <w:rPr>
          <w:rFonts w:hint="eastAsia" w:ascii="仿宋_GB2312" w:hAnsi="仿宋_GB2312" w:eastAsia="仿宋_GB2312" w:cs="仿宋_GB2312"/>
          <w:bCs/>
          <w:color w:val="auto"/>
          <w:kern w:val="0"/>
          <w:sz w:val="32"/>
          <w:szCs w:val="32"/>
          <w:highlight w:val="none"/>
        </w:rPr>
        <w:t>港澳子弟、</w:t>
      </w:r>
      <w:r>
        <w:rPr>
          <w:rFonts w:hint="eastAsia" w:ascii="仿宋_GB2312" w:hAnsi="仿宋_GB2312" w:eastAsia="仿宋_GB2312" w:cs="仿宋_GB2312"/>
          <w:color w:val="auto"/>
          <w:sz w:val="32"/>
          <w:szCs w:val="32"/>
          <w:highlight w:val="none"/>
        </w:rPr>
        <w:t>区重点企业员工子女</w:t>
      </w:r>
      <w:r>
        <w:rPr>
          <w:rFonts w:hint="eastAsia" w:ascii="仿宋_GB2312" w:hAnsi="仿宋_GB2312" w:eastAsia="仿宋_GB2312" w:cs="仿宋_GB2312"/>
          <w:bCs/>
          <w:color w:val="auto"/>
          <w:kern w:val="0"/>
          <w:sz w:val="32"/>
          <w:szCs w:val="32"/>
          <w:highlight w:val="none"/>
        </w:rPr>
        <w:t>、花都区人才绿卡持有人随迁子女</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小区配套公办学校</w:t>
      </w:r>
      <w:r>
        <w:rPr>
          <w:rFonts w:hint="eastAsia" w:ascii="仿宋_GB2312" w:hAnsi="仿宋_GB2312" w:eastAsia="仿宋_GB2312" w:cs="仿宋_GB2312"/>
          <w:color w:val="auto"/>
          <w:sz w:val="32"/>
          <w:szCs w:val="32"/>
          <w:highlight w:val="none"/>
        </w:rPr>
        <w:t>等入读办法执行</w:t>
      </w:r>
      <w:r>
        <w:rPr>
          <w:rFonts w:hint="eastAsia" w:ascii="仿宋_GB2312" w:hAnsi="仿宋_GB2312" w:eastAsia="仿宋_GB2312" w:cs="仿宋_GB2312"/>
          <w:color w:val="auto"/>
          <w:kern w:val="0"/>
          <w:sz w:val="32"/>
          <w:szCs w:val="32"/>
          <w:highlight w:val="none"/>
        </w:rPr>
        <w:t>。</w:t>
      </w:r>
    </w:p>
    <w:p>
      <w:pPr>
        <w:widowControl/>
        <w:snapToGrid w:val="0"/>
        <w:spacing w:line="360" w:lineRule="auto"/>
        <w:ind w:right="0" w:firstLine="643" w:firstLineChars="200"/>
        <w:jc w:val="left"/>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3.符合积分制入学条件的</w:t>
      </w:r>
      <w:r>
        <w:rPr>
          <w:rFonts w:hint="eastAsia" w:ascii="仿宋_GB2312" w:hAnsi="仿宋_GB2312" w:eastAsia="仿宋_GB2312" w:cs="仿宋_GB2312"/>
          <w:b/>
          <w:bCs w:val="0"/>
          <w:color w:val="auto"/>
          <w:kern w:val="0"/>
          <w:sz w:val="32"/>
          <w:szCs w:val="32"/>
          <w:highlight w:val="none"/>
        </w:rPr>
        <w:t>来穗人员随迁子女</w:t>
      </w:r>
    </w:p>
    <w:p>
      <w:pPr>
        <w:widowControl/>
        <w:snapToGrid w:val="0"/>
        <w:spacing w:line="360" w:lineRule="auto"/>
        <w:ind w:right="0" w:firstLine="640" w:firstLineChars="200"/>
        <w:jc w:val="left"/>
        <w:rPr>
          <w:rFonts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申请人申请花都区积分制入学条件如下：</w:t>
      </w:r>
    </w:p>
    <w:p>
      <w:pPr>
        <w:widowControl/>
        <w:snapToGrid w:val="0"/>
        <w:spacing w:line="360" w:lineRule="auto"/>
        <w:ind w:right="0" w:firstLine="640" w:firstLineChars="200"/>
        <w:jc w:val="left"/>
        <w:rPr>
          <w:rFonts w:hint="eastAsia" w:ascii="仿宋_GB2312" w:hAnsi="仿宋_GB2312" w:eastAsia="仿宋_GB2312" w:cs="仿宋_GB2312"/>
          <w:snapToGrid w:val="0"/>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highlight w:val="none"/>
        </w:rPr>
        <w:t>①持有广州市有效《广东省居住证》连续满一年(计算时间截至2024年8月31日)</w:t>
      </w:r>
      <w:r>
        <w:rPr>
          <w:rFonts w:hint="eastAsia" w:ascii="仿宋_GB2312" w:hAnsi="仿宋_GB2312" w:eastAsia="仿宋_GB2312" w:cs="仿宋_GB2312"/>
          <w:snapToGrid w:val="0"/>
          <w:color w:val="auto"/>
          <w:kern w:val="0"/>
          <w:sz w:val="32"/>
          <w:szCs w:val="32"/>
          <w:highlight w:val="none"/>
          <w:lang w:eastAsia="zh-CN"/>
        </w:rPr>
        <w:t>；</w:t>
      </w:r>
    </w:p>
    <w:p>
      <w:pPr>
        <w:widowControl/>
        <w:snapToGrid w:val="0"/>
        <w:spacing w:line="360" w:lineRule="auto"/>
        <w:ind w:right="0" w:firstLine="640" w:firstLineChars="200"/>
        <w:jc w:val="left"/>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②持有现居住地址在花都区内有效《广东省居住证》连续满一年(计算时间截至2024年8月31日)、稳定就业(创业)、稳定住所、缴纳社会保险其中一个险种(计算时间截至2024年4月30日)或随迁子女的小学学籍(即申请入读七年级的随迁子女)任何一项发生地在花都区。</w:t>
      </w:r>
    </w:p>
    <w:p>
      <w:pPr>
        <w:widowControl/>
        <w:snapToGrid w:val="0"/>
        <w:spacing w:line="360" w:lineRule="auto"/>
        <w:ind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lang w:val="en-US" w:eastAsia="zh-CN"/>
        </w:rPr>
        <w:t>符合以上条件</w:t>
      </w:r>
      <w:r>
        <w:rPr>
          <w:rFonts w:hint="eastAsia" w:ascii="仿宋_GB2312" w:hAnsi="仿宋_GB2312" w:eastAsia="仿宋_GB2312" w:cs="仿宋_GB2312"/>
          <w:color w:val="auto"/>
          <w:sz w:val="32"/>
          <w:szCs w:val="32"/>
          <w:highlight w:val="none"/>
        </w:rPr>
        <w:t>申请积分制服务管理完成积分核定的来穗</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rPr>
        <w:t>员，可为其适龄随迁子女提出入读起始年级的申请，我区</w:t>
      </w:r>
      <w:r>
        <w:rPr>
          <w:rFonts w:hint="eastAsia" w:ascii="仿宋_GB2312" w:hAnsi="仿宋_GB2312" w:eastAsia="仿宋_GB2312" w:cs="仿宋_GB2312"/>
          <w:snapToGrid w:val="0"/>
          <w:color w:val="auto"/>
          <w:kern w:val="0"/>
          <w:sz w:val="32"/>
          <w:szCs w:val="32"/>
          <w:highlight w:val="none"/>
        </w:rPr>
        <w:t>为达到当年规定分值条件者安排公办学位（含政府购买民办义务教育学位）。</w:t>
      </w:r>
      <w:r>
        <w:rPr>
          <w:rFonts w:hint="eastAsia" w:ascii="仿宋_GB2312" w:hAnsi="仿宋_GB2312" w:eastAsia="仿宋_GB2312" w:cs="仿宋_GB2312"/>
          <w:color w:val="auto"/>
          <w:sz w:val="32"/>
          <w:szCs w:val="32"/>
          <w:highlight w:val="none"/>
        </w:rPr>
        <w:t>详情参见《2024年花都区来穗人员随迁子女入读义务教育阶段公办学校工作指引》。</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不符合以上条件的来穗人员随迁子女，可结合自身情况和需求，通过报读民办学校接受义务教育。</w:t>
      </w:r>
    </w:p>
    <w:p>
      <w:pPr>
        <w:spacing w:line="360" w:lineRule="auto"/>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三、各小学招生服务范围</w:t>
      </w:r>
    </w:p>
    <w:p>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花都区城区范围有公办小学49所（含4个分校区、1个分教点）。根据今年花都区城区交通状况、人口分布、适龄儿童人数、小学分布和规模等状况及“就近入学”的原则，把城区小学划分为51个区域进行登记报名。</w:t>
      </w:r>
    </w:p>
    <w:p>
      <w:pPr>
        <w:widowControl/>
        <w:snapToGrid w:val="0"/>
        <w:spacing w:line="360" w:lineRule="auto"/>
        <w:ind w:right="0"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四、报名程序</w:t>
      </w:r>
    </w:p>
    <w:p>
      <w:pPr>
        <w:widowControl/>
        <w:snapToGrid w:val="0"/>
        <w:spacing w:line="360" w:lineRule="auto"/>
        <w:ind w:right="0" w:firstLine="640" w:firstLineChars="200"/>
        <w:jc w:val="left"/>
        <w:rPr>
          <w:rFonts w:hint="eastAsia" w:ascii="楷体" w:hAnsi="楷体" w:eastAsia="仿宋_GB2312" w:cs="楷体"/>
          <w:b/>
          <w:bCs/>
          <w:color w:val="auto"/>
          <w:sz w:val="32"/>
          <w:szCs w:val="32"/>
          <w:highlight w:val="none"/>
        </w:rPr>
      </w:pPr>
      <w:r>
        <w:rPr>
          <w:rFonts w:hint="eastAsia" w:ascii="仿宋_GB2312" w:hAnsi="仿宋_GB2312" w:eastAsia="仿宋_GB2312" w:cs="仿宋_GB2312"/>
          <w:color w:val="auto"/>
          <w:sz w:val="32"/>
          <w:szCs w:val="32"/>
          <w:highlight w:val="none"/>
        </w:rPr>
        <w:t>广州市户籍适龄儿童须先通过</w:t>
      </w:r>
      <w:r>
        <w:rPr>
          <w:rFonts w:hint="eastAsia" w:ascii="仿宋_GB2312" w:hAnsi="仿宋_GB2312" w:eastAsia="仿宋_GB2312" w:cs="仿宋_GB2312"/>
          <w:snapToGrid w:val="0"/>
          <w:color w:val="auto"/>
          <w:kern w:val="0"/>
          <w:sz w:val="32"/>
          <w:szCs w:val="32"/>
          <w:highlight w:val="none"/>
        </w:rPr>
        <w:t>登录“广州市义务教育学校招生报名系统”（网址：zs.gzeducms.cn）填写报名信息</w:t>
      </w:r>
      <w:r>
        <w:rPr>
          <w:rFonts w:hint="eastAsia" w:ascii="仿宋_GB2312" w:hAnsi="仿宋_GB2312" w:eastAsia="仿宋_GB2312" w:cs="仿宋_GB2312"/>
          <w:bCs/>
          <w:color w:val="auto"/>
          <w:kern w:val="0"/>
          <w:sz w:val="32"/>
          <w:szCs w:val="32"/>
          <w:highlight w:val="none"/>
        </w:rPr>
        <w:t>，再进行后续现场资料审核及安排学位。</w:t>
      </w:r>
    </w:p>
    <w:p>
      <w:pPr>
        <w:widowControl/>
        <w:snapToGrid w:val="0"/>
        <w:spacing w:line="360" w:lineRule="auto"/>
        <w:ind w:right="0"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w:t>
      </w:r>
      <w:r>
        <w:rPr>
          <w:rFonts w:hint="eastAsia" w:ascii="楷体" w:hAnsi="楷体" w:eastAsia="楷体" w:cs="楷体"/>
          <w:b/>
          <w:bCs/>
          <w:color w:val="auto"/>
          <w:kern w:val="0"/>
          <w:sz w:val="32"/>
          <w:szCs w:val="32"/>
          <w:highlight w:val="none"/>
        </w:rPr>
        <w:t>广州市户籍</w:t>
      </w:r>
      <w:r>
        <w:rPr>
          <w:rFonts w:hint="eastAsia" w:ascii="楷体" w:hAnsi="楷体" w:eastAsia="楷体" w:cs="楷体"/>
          <w:b/>
          <w:bCs/>
          <w:color w:val="auto"/>
          <w:sz w:val="32"/>
          <w:szCs w:val="32"/>
          <w:highlight w:val="none"/>
        </w:rPr>
        <w:t>适龄儿童报名</w:t>
      </w:r>
    </w:p>
    <w:p>
      <w:pPr>
        <w:widowControl/>
        <w:snapToGrid w:val="0"/>
        <w:spacing w:line="360" w:lineRule="auto"/>
        <w:ind w:right="0" w:firstLine="643" w:firstLineChars="200"/>
        <w:rPr>
          <w:rFonts w:hint="eastAsia" w:ascii="仿宋" w:hAnsi="仿宋" w:eastAsia="仿宋" w:cs="仿宋_GB2312"/>
          <w:b/>
          <w:color w:val="auto"/>
          <w:sz w:val="32"/>
          <w:szCs w:val="32"/>
          <w:highlight w:val="none"/>
        </w:rPr>
      </w:pPr>
      <w:r>
        <w:rPr>
          <w:rFonts w:hint="eastAsia" w:ascii="仿宋" w:hAnsi="仿宋" w:eastAsia="仿宋" w:cs="仿宋_GB2312"/>
          <w:b/>
          <w:color w:val="auto"/>
          <w:sz w:val="32"/>
          <w:szCs w:val="32"/>
          <w:highlight w:val="none"/>
        </w:rPr>
        <w:t>1.网上报名</w:t>
      </w:r>
    </w:p>
    <w:p>
      <w:pPr>
        <w:widowControl/>
        <w:snapToGrid w:val="0"/>
        <w:spacing w:line="360" w:lineRule="auto"/>
        <w:ind w:right="0" w:firstLine="640"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sz w:val="32"/>
          <w:szCs w:val="32"/>
          <w:highlight w:val="none"/>
        </w:rPr>
        <w:t>广州市户籍</w:t>
      </w:r>
      <w:r>
        <w:rPr>
          <w:rFonts w:hint="eastAsia" w:ascii="仿宋_GB2312" w:hAnsi="仿宋_GB2312" w:eastAsia="仿宋_GB2312" w:cs="仿宋_GB2312"/>
          <w:bCs/>
          <w:color w:val="auto"/>
          <w:kern w:val="0"/>
          <w:sz w:val="32"/>
          <w:szCs w:val="32"/>
          <w:highlight w:val="none"/>
        </w:rPr>
        <w:t>的</w:t>
      </w:r>
      <w:r>
        <w:rPr>
          <w:rFonts w:hint="eastAsia" w:ascii="仿宋_GB2312" w:hAnsi="仿宋_GB2312" w:eastAsia="仿宋_GB2312" w:cs="仿宋_GB2312"/>
          <w:bCs/>
          <w:color w:val="auto"/>
          <w:sz w:val="32"/>
          <w:szCs w:val="32"/>
          <w:highlight w:val="none"/>
        </w:rPr>
        <w:t>适龄儿童父母或合法</w:t>
      </w:r>
      <w:r>
        <w:rPr>
          <w:rFonts w:hint="eastAsia" w:ascii="仿宋_GB2312" w:hAnsi="仿宋_GB2312" w:eastAsia="仿宋_GB2312" w:cs="仿宋_GB2312"/>
          <w:bCs/>
          <w:color w:val="auto"/>
          <w:sz w:val="32"/>
          <w:szCs w:val="32"/>
          <w:highlight w:val="none"/>
          <w:lang w:eastAsia="zh-CN"/>
        </w:rPr>
        <w:t>法定监护人</w:t>
      </w:r>
      <w:r>
        <w:rPr>
          <w:rFonts w:hint="eastAsia" w:ascii="仿宋_GB2312" w:hAnsi="仿宋_GB2312" w:eastAsia="仿宋_GB2312" w:cs="仿宋_GB2312"/>
          <w:bCs/>
          <w:color w:val="auto"/>
          <w:sz w:val="32"/>
          <w:szCs w:val="32"/>
          <w:highlight w:val="none"/>
        </w:rPr>
        <w:t>须在2024年</w:t>
      </w:r>
      <w:r>
        <w:rPr>
          <w:rFonts w:hint="eastAsia" w:ascii="仿宋_GB2312" w:hAnsi="仿宋_GB2312" w:eastAsia="仿宋_GB2312" w:cs="仿宋_GB2312"/>
          <w:bCs/>
          <w:color w:val="auto"/>
          <w:kern w:val="0"/>
          <w:sz w:val="32"/>
          <w:szCs w:val="32"/>
          <w:highlight w:val="none"/>
        </w:rPr>
        <w:t>5月7日至11日登录“广州市义务教育学校招生报名系统”</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kern w:val="0"/>
          <w:sz w:val="32"/>
          <w:szCs w:val="32"/>
          <w:highlight w:val="none"/>
        </w:rPr>
        <w:t>网址：</w:t>
      </w:r>
      <w:r>
        <w:rPr>
          <w:rFonts w:hint="eastAsia" w:ascii="仿宋_GB2312" w:hAnsi="仿宋_GB2312" w:eastAsia="仿宋_GB2312" w:cs="仿宋_GB2312"/>
          <w:bCs/>
          <w:color w:val="auto"/>
          <w:kern w:val="0"/>
          <w:sz w:val="32"/>
          <w:szCs w:val="32"/>
          <w:highlight w:val="none"/>
        </w:rPr>
        <w:fldChar w:fldCharType="begin"/>
      </w:r>
      <w:r>
        <w:rPr>
          <w:rFonts w:hint="eastAsia" w:ascii="仿宋_GB2312" w:hAnsi="仿宋_GB2312" w:eastAsia="仿宋_GB2312" w:cs="仿宋_GB2312"/>
          <w:bCs/>
          <w:color w:val="auto"/>
          <w:kern w:val="0"/>
          <w:sz w:val="32"/>
          <w:szCs w:val="32"/>
          <w:highlight w:val="none"/>
        </w:rPr>
        <w:instrText xml:space="preserve"> HYPERLINK "http://zs.gzeducms.cn" </w:instrText>
      </w:r>
      <w:r>
        <w:rPr>
          <w:rFonts w:hint="eastAsia" w:ascii="仿宋_GB2312" w:hAnsi="仿宋_GB2312" w:eastAsia="仿宋_GB2312" w:cs="仿宋_GB2312"/>
          <w:bCs/>
          <w:color w:val="auto"/>
          <w:kern w:val="0"/>
          <w:sz w:val="32"/>
          <w:szCs w:val="32"/>
          <w:highlight w:val="none"/>
        </w:rPr>
        <w:fldChar w:fldCharType="separate"/>
      </w:r>
      <w:r>
        <w:rPr>
          <w:rStyle w:val="12"/>
          <w:rFonts w:hint="eastAsia" w:ascii="仿宋_GB2312" w:hAnsi="仿宋_GB2312" w:eastAsia="仿宋_GB2312" w:cs="仿宋_GB2312"/>
          <w:bCs/>
          <w:color w:val="auto"/>
          <w:kern w:val="0"/>
          <w:sz w:val="32"/>
          <w:szCs w:val="32"/>
          <w:highlight w:val="none"/>
          <w:u w:val="none"/>
        </w:rPr>
        <w:t>zs.gzeducms.cn</w:t>
      </w:r>
      <w:r>
        <w:rPr>
          <w:rFonts w:hint="eastAsia" w:ascii="仿宋_GB2312" w:hAnsi="仿宋_GB2312" w:eastAsia="仿宋_GB2312" w:cs="仿宋_GB2312"/>
          <w:bCs/>
          <w:color w:val="auto"/>
          <w:kern w:val="0"/>
          <w:sz w:val="32"/>
          <w:szCs w:val="32"/>
          <w:highlight w:val="none"/>
        </w:rPr>
        <w:fldChar w:fldCharType="end"/>
      </w:r>
      <w:r>
        <w:rPr>
          <w:rFonts w:hint="eastAsia" w:ascii="仿宋_GB2312" w:hAnsi="仿宋_GB2312" w:eastAsia="仿宋_GB2312" w:cs="仿宋_GB2312"/>
          <w:bCs/>
          <w:color w:val="auto"/>
          <w:kern w:val="0"/>
          <w:sz w:val="32"/>
          <w:szCs w:val="32"/>
          <w:highlight w:val="none"/>
        </w:rPr>
        <w:t>）填写报名信息，申请学位，申请成功后打印《2024年广州公办小学学位申请表》，按预约审核资料时间、携带温馨提示所要求的材料到网页提示的小学进行资料审核。</w:t>
      </w:r>
    </w:p>
    <w:p>
      <w:pPr>
        <w:widowControl/>
        <w:numPr>
          <w:ilvl w:val="0"/>
          <w:numId w:val="0"/>
        </w:numPr>
        <w:snapToGrid w:val="0"/>
        <w:spacing w:line="360" w:lineRule="auto"/>
        <w:ind w:right="0" w:firstLine="643" w:firstLineChars="200"/>
        <w:jc w:val="left"/>
        <w:rPr>
          <w:rFonts w:hint="eastAsia" w:ascii="仿宋" w:hAnsi="仿宋" w:eastAsia="仿宋" w:cs="仿宋_GB2312"/>
          <w:b/>
          <w:color w:val="auto"/>
          <w:kern w:val="0"/>
          <w:sz w:val="32"/>
          <w:szCs w:val="32"/>
          <w:highlight w:val="none"/>
        </w:rPr>
      </w:pPr>
      <w:r>
        <w:rPr>
          <w:rFonts w:hint="eastAsia" w:ascii="仿宋" w:hAnsi="仿宋" w:eastAsia="仿宋" w:cs="仿宋_GB2312"/>
          <w:b/>
          <w:color w:val="auto"/>
          <w:kern w:val="0"/>
          <w:sz w:val="32"/>
          <w:szCs w:val="32"/>
          <w:highlight w:val="none"/>
          <w:lang w:val="en-US" w:eastAsia="zh-CN"/>
        </w:rPr>
        <w:t>2.</w:t>
      </w:r>
      <w:r>
        <w:rPr>
          <w:rFonts w:hint="eastAsia" w:ascii="仿宋" w:hAnsi="仿宋" w:eastAsia="仿宋" w:cs="仿宋_GB2312"/>
          <w:b/>
          <w:color w:val="auto"/>
          <w:kern w:val="0"/>
          <w:sz w:val="32"/>
          <w:szCs w:val="32"/>
          <w:highlight w:val="none"/>
        </w:rPr>
        <w:t>资料审核</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时间：2024年5月18—20日上午8：30-11：30，下午2：30-4：30。</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地点：各公办小学内。</w:t>
      </w:r>
    </w:p>
    <w:p>
      <w:pPr>
        <w:widowControl/>
        <w:snapToGrid w:val="0"/>
        <w:spacing w:line="360" w:lineRule="auto"/>
        <w:ind w:right="0" w:firstLine="640" w:firstLineChars="200"/>
        <w:jc w:val="left"/>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kern w:val="0"/>
          <w:sz w:val="32"/>
          <w:szCs w:val="32"/>
          <w:highlight w:val="none"/>
        </w:rPr>
        <w:t>家长需带以下资料：《2024年广州公办小学学位申请表》、</w:t>
      </w:r>
      <w:r>
        <w:rPr>
          <w:rFonts w:hint="eastAsia" w:ascii="仿宋_GB2312" w:hAnsi="仿宋_GB2312" w:eastAsia="仿宋_GB2312" w:cs="仿宋_GB2312"/>
          <w:bCs/>
          <w:color w:val="auto"/>
          <w:sz w:val="32"/>
          <w:szCs w:val="32"/>
          <w:highlight w:val="none"/>
        </w:rPr>
        <w:t>父母和子女的户口簿、父母身份证、房产证（已网签的购房合同或个人名下不动产登记结果查询</w:t>
      </w:r>
      <w:r>
        <w:rPr>
          <w:rFonts w:hint="eastAsia" w:ascii="仿宋_GB2312" w:hAnsi="仿宋_GB2312" w:eastAsia="仿宋_GB2312" w:cs="仿宋_GB2312"/>
          <w:bCs/>
          <w:color w:val="auto"/>
          <w:sz w:val="32"/>
          <w:szCs w:val="32"/>
          <w:highlight w:val="none"/>
          <w:lang w:val="en-US" w:eastAsia="zh-CN"/>
        </w:rPr>
        <w:t>佐证材料</w:t>
      </w:r>
      <w:r>
        <w:rPr>
          <w:rFonts w:hint="eastAsia" w:ascii="仿宋_GB2312" w:hAnsi="仿宋_GB2312" w:eastAsia="仿宋_GB2312" w:cs="仿宋_GB2312"/>
          <w:bCs/>
          <w:color w:val="auto"/>
          <w:sz w:val="32"/>
          <w:szCs w:val="32"/>
          <w:highlight w:val="none"/>
        </w:rPr>
        <w:t>）、父母结婚证、儿童出生证等。由于需要现场验核房产信息，请产权所有人到学校递交材料</w:t>
      </w:r>
      <w:r>
        <w:rPr>
          <w:rFonts w:hint="eastAsia" w:ascii="仿宋_GB2312" w:hAnsi="仿宋_GB2312" w:eastAsia="仿宋_GB2312" w:cs="仿宋_GB2312"/>
          <w:b/>
          <w:color w:val="auto"/>
          <w:sz w:val="32"/>
          <w:szCs w:val="32"/>
          <w:highlight w:val="none"/>
        </w:rPr>
        <w:t>（具体可见报名系统温馨提示）。</w:t>
      </w:r>
    </w:p>
    <w:p>
      <w:pPr>
        <w:pStyle w:val="3"/>
        <w:snapToGrid w:val="0"/>
        <w:spacing w:line="360" w:lineRule="auto"/>
        <w:ind w:left="0"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属于城区小学定点招生范围的村籍适龄儿童，经网上报名后，</w:t>
      </w:r>
      <w:r>
        <w:rPr>
          <w:rFonts w:hint="eastAsia" w:ascii="仿宋_GB2312" w:hAnsi="仿宋_GB2312" w:cs="仿宋_GB2312"/>
          <w:color w:val="auto"/>
          <w:kern w:val="0"/>
          <w:sz w:val="32"/>
          <w:szCs w:val="32"/>
          <w:highlight w:val="none"/>
        </w:rPr>
        <w:t>打印《2024年广州公办小学学位申请表》，在2024年5月18-20日，由法定</w:t>
      </w:r>
      <w:r>
        <w:rPr>
          <w:rFonts w:hint="eastAsia" w:ascii="仿宋_GB2312" w:hAnsi="仿宋_GB2312" w:cs="仿宋_GB2312"/>
          <w:color w:val="auto"/>
          <w:kern w:val="0"/>
          <w:sz w:val="32"/>
          <w:szCs w:val="32"/>
          <w:highlight w:val="none"/>
          <w:lang w:eastAsia="zh-CN"/>
        </w:rPr>
        <w:t>监护人</w:t>
      </w:r>
      <w:r>
        <w:rPr>
          <w:rFonts w:hint="eastAsia" w:ascii="仿宋_GB2312" w:hAnsi="仿宋_GB2312" w:cs="仿宋_GB2312"/>
          <w:color w:val="auto"/>
          <w:kern w:val="0"/>
          <w:sz w:val="32"/>
          <w:szCs w:val="32"/>
          <w:highlight w:val="none"/>
        </w:rPr>
        <w:t>携相关资料，</w:t>
      </w:r>
      <w:r>
        <w:rPr>
          <w:rFonts w:hint="eastAsia" w:ascii="仿宋_GB2312" w:hAnsi="仿宋_GB2312" w:cs="仿宋_GB2312"/>
          <w:bCs/>
          <w:color w:val="auto"/>
          <w:kern w:val="0"/>
          <w:sz w:val="32"/>
          <w:szCs w:val="32"/>
          <w:highlight w:val="none"/>
        </w:rPr>
        <w:t>按预约审核资料时间到定点小学进行资料审核。</w:t>
      </w:r>
    </w:p>
    <w:p>
      <w:pPr>
        <w:widowControl/>
        <w:snapToGrid w:val="0"/>
        <w:spacing w:line="360" w:lineRule="auto"/>
        <w:ind w:right="0" w:firstLine="643" w:firstLineChars="200"/>
        <w:rPr>
          <w:rFonts w:hint="eastAsia" w:ascii="楷体" w:hAnsi="楷体" w:eastAsia="楷体" w:cs="楷体"/>
          <w:bCs/>
          <w:color w:val="auto"/>
          <w:kern w:val="0"/>
          <w:sz w:val="32"/>
          <w:szCs w:val="32"/>
          <w:highlight w:val="none"/>
        </w:rPr>
      </w:pPr>
      <w:r>
        <w:rPr>
          <w:rFonts w:hint="eastAsia" w:ascii="楷体" w:hAnsi="楷体" w:eastAsia="楷体" w:cs="楷体"/>
          <w:b/>
          <w:bCs/>
          <w:color w:val="auto"/>
          <w:kern w:val="0"/>
          <w:sz w:val="32"/>
          <w:szCs w:val="32"/>
          <w:highlight w:val="none"/>
        </w:rPr>
        <w:t>（二）广州市政策性照顾生报名</w:t>
      </w:r>
    </w:p>
    <w:p>
      <w:pPr>
        <w:adjustRightInd w:val="0"/>
        <w:snapToGrid w:val="0"/>
        <w:spacing w:line="360" w:lineRule="auto"/>
        <w:ind w:firstLine="640" w:firstLineChars="200"/>
        <w:jc w:val="left"/>
        <w:rPr>
          <w:rFonts w:hint="eastAsia" w:ascii="仿宋_GB2312" w:hAnsi="仿宋_GB2312" w:eastAsia="仿宋_GB2312" w:cs="仿宋_GB2312"/>
          <w:bCs/>
          <w:snapToGrid w:val="0"/>
          <w:color w:val="auto"/>
          <w:kern w:val="0"/>
          <w:sz w:val="32"/>
          <w:szCs w:val="32"/>
          <w:highlight w:val="none"/>
        </w:rPr>
      </w:pPr>
      <w:r>
        <w:rPr>
          <w:rFonts w:hint="eastAsia" w:ascii="仿宋_GB2312" w:hAnsi="仿宋_GB2312" w:eastAsia="仿宋_GB2312" w:cs="仿宋_GB2312"/>
          <w:bCs/>
          <w:color w:val="auto"/>
          <w:kern w:val="0"/>
          <w:sz w:val="32"/>
          <w:szCs w:val="32"/>
          <w:highlight w:val="none"/>
        </w:rPr>
        <w:t>符合广州市义务教育阶段政策性照顾生条件的户籍人员需按照《广州市义务教育阶段政策性照顾学生清单》的要求，准备好相关资料并在5月22--23日内到城区教育指导中心现场审核资料。</w:t>
      </w:r>
    </w:p>
    <w:p>
      <w:pPr>
        <w:pStyle w:val="3"/>
        <w:snapToGrid w:val="0"/>
        <w:spacing w:line="360" w:lineRule="auto"/>
        <w:ind w:left="0" w:firstLine="643" w:firstLineChars="200"/>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（三）片区配套学校业主适龄子女报名</w:t>
      </w:r>
    </w:p>
    <w:p>
      <w:pPr>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rPr>
        <w:t>根据《</w:t>
      </w:r>
      <w:r>
        <w:rPr>
          <w:rFonts w:hint="eastAsia" w:ascii="仿宋_GB2312" w:hAnsi="仿宋_GB2312" w:eastAsia="仿宋_GB2312" w:cs="仿宋_GB2312"/>
          <w:bCs/>
          <w:color w:val="auto"/>
          <w:sz w:val="32"/>
          <w:szCs w:val="32"/>
          <w:highlight w:val="none"/>
        </w:rPr>
        <w:t>花都区小区配套公办学校学位分配办法</w:t>
      </w:r>
      <w:r>
        <w:rPr>
          <w:rFonts w:hint="eastAsia" w:ascii="仿宋_GB2312" w:hAnsi="仿宋_GB2312" w:eastAsia="仿宋_GB2312" w:cs="仿宋_GB2312"/>
          <w:bCs/>
          <w:color w:val="auto"/>
          <w:kern w:val="0"/>
          <w:sz w:val="32"/>
          <w:szCs w:val="32"/>
          <w:highlight w:val="none"/>
        </w:rPr>
        <w:t>》（花府办〔2017〕25号），非穗籍小区业主适龄子女按照各小区配套学校发布的时间，由</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携相关资料，到对应</w:t>
      </w:r>
      <w:r>
        <w:rPr>
          <w:rFonts w:hint="eastAsia" w:ascii="仿宋_GB2312" w:hAnsi="仿宋_GB2312" w:eastAsia="仿宋_GB2312" w:cs="仿宋_GB2312"/>
          <w:color w:val="auto"/>
          <w:kern w:val="0"/>
          <w:sz w:val="32"/>
          <w:szCs w:val="32"/>
          <w:highlight w:val="none"/>
        </w:rPr>
        <w:t>区域配套公办小学报名。小区配套学校包括：华南师范大学附属花都学校、新华街第八小学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新华街第九小学</w:t>
      </w:r>
      <w:r>
        <w:rPr>
          <w:rFonts w:hint="eastAsia" w:ascii="仿宋_GB2312" w:hAnsi="仿宋_GB2312" w:eastAsia="仿宋_GB2312" w:cs="仿宋_GB2312"/>
          <w:color w:val="auto"/>
          <w:sz w:val="32"/>
          <w:szCs w:val="32"/>
          <w:highlight w:val="none"/>
        </w:rPr>
        <w:t>、秀全街和悦小学、秀全街乐泉小学、秀全街飞鹅岭小学、新雅街新雅小学迎宾路校区、新雅街新雅小学和雅校区、新雅街镜湖学校、新雅街嘉行学校、邝维煜纪念中学附属雅正学校。家长可以通过查看学校宣传栏信息或关注配套学校公众号获取相关报读信息。穗籍业主子女请按广州市户籍适龄儿童报名流程进行。</w:t>
      </w:r>
    </w:p>
    <w:p>
      <w:pPr>
        <w:pStyle w:val="3"/>
        <w:snapToGrid w:val="0"/>
        <w:spacing w:line="360" w:lineRule="auto"/>
        <w:ind w:left="0" w:firstLine="643" w:firstLineChars="200"/>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（四）花都区政策性照顾生报名</w:t>
      </w:r>
    </w:p>
    <w:p>
      <w:pPr>
        <w:adjustRightInd w:val="0"/>
        <w:snapToGrid w:val="0"/>
        <w:spacing w:line="360" w:lineRule="auto"/>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rPr>
        <w:t>港澳子弟、花都区人才绿卡持有人随迁子女报读城区学校一年级</w:t>
      </w:r>
      <w:r>
        <w:rPr>
          <w:rFonts w:hint="eastAsia" w:ascii="仿宋_GB2312" w:hAnsi="仿宋_GB2312" w:eastAsia="仿宋_GB2312" w:cs="仿宋_GB2312"/>
          <w:bCs/>
          <w:color w:val="auto"/>
          <w:kern w:val="0"/>
          <w:sz w:val="32"/>
          <w:szCs w:val="32"/>
          <w:highlight w:val="none"/>
          <w:lang w:eastAsia="zh-CN"/>
        </w:rPr>
        <w:t>的，</w:t>
      </w:r>
      <w:r>
        <w:rPr>
          <w:rFonts w:hint="eastAsia" w:ascii="仿宋_GB2312" w:hAnsi="仿宋_GB2312" w:eastAsia="仿宋_GB2312" w:cs="仿宋_GB2312"/>
          <w:bCs/>
          <w:color w:val="auto"/>
          <w:kern w:val="0"/>
          <w:sz w:val="32"/>
          <w:szCs w:val="32"/>
          <w:highlight w:val="none"/>
        </w:rPr>
        <w:t>可在5月6-7日到城区教育指导中心（天贵北路与杜鹃三街交叉口）申请报读。港澳子弟报读需要提供入学人身份证</w:t>
      </w:r>
      <w:r>
        <w:rPr>
          <w:rFonts w:hint="eastAsia" w:ascii="仿宋_GB2312" w:hAnsi="仿宋_GB2312" w:eastAsia="仿宋_GB2312" w:cs="仿宋_GB2312"/>
          <w:bCs/>
          <w:color w:val="auto"/>
          <w:kern w:val="0"/>
          <w:sz w:val="32"/>
          <w:szCs w:val="32"/>
          <w:highlight w:val="none"/>
          <w:lang w:eastAsia="zh-CN"/>
        </w:rPr>
        <w:t>（或港澳通行证）</w:t>
      </w:r>
      <w:r>
        <w:rPr>
          <w:rFonts w:hint="eastAsia" w:ascii="仿宋_GB2312" w:hAnsi="仿宋_GB2312" w:eastAsia="仿宋_GB2312" w:cs="仿宋_GB2312"/>
          <w:bCs/>
          <w:color w:val="auto"/>
          <w:kern w:val="0"/>
          <w:sz w:val="32"/>
          <w:szCs w:val="32"/>
          <w:highlight w:val="none"/>
        </w:rPr>
        <w:t>、出生证，</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的户口本、有效居住资料或工作</w:t>
      </w:r>
      <w:r>
        <w:rPr>
          <w:rFonts w:hint="eastAsia" w:ascii="仿宋_GB2312" w:hAnsi="仿宋_GB2312" w:eastAsia="仿宋_GB2312" w:cs="仿宋_GB2312"/>
          <w:bCs/>
          <w:color w:val="auto"/>
          <w:kern w:val="0"/>
          <w:sz w:val="32"/>
          <w:szCs w:val="32"/>
          <w:highlight w:val="none"/>
          <w:lang w:val="en-US" w:eastAsia="zh-CN"/>
        </w:rPr>
        <w:t>佐证材料</w:t>
      </w:r>
      <w:r>
        <w:rPr>
          <w:rFonts w:hint="eastAsia" w:ascii="仿宋_GB2312" w:hAnsi="仿宋_GB2312" w:eastAsia="仿宋_GB2312" w:cs="仿宋_GB2312"/>
          <w:bCs/>
          <w:color w:val="auto"/>
          <w:kern w:val="0"/>
          <w:sz w:val="32"/>
          <w:szCs w:val="32"/>
          <w:highlight w:val="none"/>
        </w:rPr>
        <w:t>、社保资料；绿卡人员子女报读需要提供入学人身份证、户口本、出生证，</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身份证、户口本、绿卡、有效房产材料（可提供房产证复印件或由产权所有人用手机上“广州不动产登记”系统查询后</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截屏打印能显示房产地址和产权人的页面上交，家长不需要到房管局查册）。</w:t>
      </w:r>
    </w:p>
    <w:p>
      <w:pPr>
        <w:pStyle w:val="3"/>
        <w:snapToGrid w:val="0"/>
        <w:spacing w:line="360" w:lineRule="auto"/>
        <w:ind w:left="0" w:firstLine="640" w:firstLineChars="20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五、学位安排</w:t>
      </w:r>
    </w:p>
    <w:p>
      <w:pPr>
        <w:pStyle w:val="3"/>
        <w:snapToGrid w:val="0"/>
        <w:spacing w:line="360" w:lineRule="auto"/>
        <w:ind w:left="0"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地段生在完成网上报名后，审核资料</w:t>
      </w:r>
      <w:r>
        <w:rPr>
          <w:rFonts w:hint="eastAsia" w:ascii="仿宋_GB2312" w:hAnsi="仿宋_GB2312" w:cs="仿宋_GB2312"/>
          <w:color w:val="auto"/>
          <w:sz w:val="32"/>
          <w:szCs w:val="32"/>
          <w:highlight w:val="none"/>
          <w:lang w:val="en-US" w:eastAsia="zh-CN"/>
        </w:rPr>
        <w:t>后</w:t>
      </w:r>
      <w:r>
        <w:rPr>
          <w:rFonts w:hint="eastAsia" w:ascii="仿宋_GB2312" w:hAnsi="仿宋_GB2312" w:cs="仿宋_GB2312"/>
          <w:color w:val="auto"/>
          <w:sz w:val="32"/>
          <w:szCs w:val="32"/>
          <w:highlight w:val="none"/>
        </w:rPr>
        <w:t>符合要求的将由对口学校直接接收；统筹生在完成报名后，审核资料</w:t>
      </w:r>
      <w:r>
        <w:rPr>
          <w:rFonts w:hint="eastAsia" w:ascii="仿宋_GB2312" w:hAnsi="仿宋_GB2312" w:cs="仿宋_GB2312"/>
          <w:color w:val="auto"/>
          <w:sz w:val="32"/>
          <w:szCs w:val="32"/>
          <w:highlight w:val="none"/>
          <w:lang w:val="en-US" w:eastAsia="zh-CN"/>
        </w:rPr>
        <w:t>后</w:t>
      </w:r>
      <w:r>
        <w:rPr>
          <w:rFonts w:hint="eastAsia" w:ascii="仿宋_GB2312" w:hAnsi="仿宋_GB2312" w:cs="仿宋_GB2312"/>
          <w:color w:val="auto"/>
          <w:sz w:val="32"/>
          <w:szCs w:val="32"/>
          <w:highlight w:val="none"/>
        </w:rPr>
        <w:t>符合要求的，由教育指导中心统筹安排学位。</w:t>
      </w:r>
    </w:p>
    <w:p>
      <w:pPr>
        <w:pStyle w:val="3"/>
        <w:snapToGrid w:val="0"/>
        <w:spacing w:line="360" w:lineRule="auto"/>
        <w:ind w:left="0"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六、录取结果公布</w:t>
      </w:r>
    </w:p>
    <w:p>
      <w:pPr>
        <w:pStyle w:val="3"/>
        <w:snapToGrid w:val="0"/>
        <w:spacing w:line="360" w:lineRule="auto"/>
        <w:ind w:left="0" w:firstLine="640" w:firstLineChars="200"/>
        <w:rPr>
          <w:rFonts w:hint="eastAsia" w:ascii="仿宋_GB2312" w:hAnsi="仿宋_GB2312" w:cs="仿宋_GB2312"/>
          <w:color w:val="auto"/>
          <w:sz w:val="32"/>
          <w:szCs w:val="32"/>
          <w:highlight w:val="none"/>
        </w:rPr>
      </w:pPr>
      <w:r>
        <w:rPr>
          <w:rFonts w:hint="eastAsia" w:ascii="仿宋_GB2312" w:hAnsi="仿宋_GB2312" w:cs="仿宋_GB2312"/>
          <w:color w:val="auto"/>
          <w:sz w:val="32"/>
          <w:szCs w:val="32"/>
          <w:highlight w:val="none"/>
        </w:rPr>
        <w:t>公布时间：地段生2024年6月7日公布录取结果，统筹生6月18日前公布录取结果</w:t>
      </w:r>
      <w:r>
        <w:rPr>
          <w:rFonts w:hint="eastAsia" w:ascii="仿宋_GB2312" w:hAnsi="仿宋_GB2312" w:cs="仿宋_GB2312"/>
          <w:color w:val="auto"/>
          <w:sz w:val="32"/>
          <w:szCs w:val="32"/>
          <w:highlight w:val="none"/>
          <w:lang w:eastAsia="zh-CN"/>
        </w:rPr>
        <w:t>。</w:t>
      </w:r>
    </w:p>
    <w:p>
      <w:pPr>
        <w:pStyle w:val="3"/>
        <w:snapToGrid w:val="0"/>
        <w:spacing w:line="360" w:lineRule="auto"/>
        <w:ind w:left="0" w:firstLine="640" w:firstLineChars="200"/>
        <w:rPr>
          <w:rFonts w:hint="eastAsia" w:ascii="仿宋_GB2312" w:hAnsi="仿宋_GB2312" w:cs="仿宋_GB2312"/>
          <w:bCs/>
          <w:color w:val="auto"/>
          <w:kern w:val="0"/>
          <w:sz w:val="32"/>
          <w:szCs w:val="32"/>
          <w:highlight w:val="none"/>
        </w:rPr>
      </w:pPr>
      <w:r>
        <w:rPr>
          <w:rFonts w:hint="eastAsia" w:ascii="仿宋_GB2312" w:hAnsi="仿宋_GB2312" w:cs="仿宋_GB2312"/>
          <w:color w:val="auto"/>
          <w:sz w:val="32"/>
          <w:szCs w:val="32"/>
          <w:highlight w:val="none"/>
        </w:rPr>
        <w:t>公布方式：广州市内户籍适龄儿童</w:t>
      </w:r>
      <w:r>
        <w:rPr>
          <w:rFonts w:hint="eastAsia" w:ascii="仿宋_GB2312" w:hAnsi="仿宋_GB2312" w:cs="仿宋_GB2312"/>
          <w:color w:val="auto"/>
          <w:sz w:val="32"/>
          <w:szCs w:val="32"/>
          <w:highlight w:val="none"/>
          <w:lang w:val="en-US" w:eastAsia="zh-CN"/>
        </w:rPr>
        <w:t>公办小学录取结果</w:t>
      </w:r>
      <w:r>
        <w:rPr>
          <w:rFonts w:hint="eastAsia" w:ascii="仿宋_GB2312" w:hAnsi="仿宋_GB2312" w:cs="仿宋_GB2312"/>
          <w:color w:val="auto"/>
          <w:sz w:val="32"/>
          <w:szCs w:val="32"/>
          <w:highlight w:val="none"/>
        </w:rPr>
        <w:t>可由家长登</w:t>
      </w:r>
      <w:r>
        <w:rPr>
          <w:rFonts w:hint="eastAsia" w:ascii="仿宋_GB2312" w:hAnsi="仿宋_GB2312" w:cs="仿宋_GB2312"/>
          <w:bCs/>
          <w:color w:val="auto"/>
          <w:kern w:val="0"/>
          <w:sz w:val="32"/>
          <w:szCs w:val="32"/>
          <w:highlight w:val="none"/>
        </w:rPr>
        <w:t>陆报名系统查询或家长自行到拟入读学校查询。符合市、区政策性照顾的适龄儿童</w:t>
      </w:r>
      <w:r>
        <w:rPr>
          <w:rFonts w:hint="eastAsia" w:ascii="仿宋_GB2312" w:hAnsi="仿宋_GB2312" w:cs="仿宋_GB2312"/>
          <w:bCs/>
          <w:color w:val="auto"/>
          <w:kern w:val="0"/>
          <w:sz w:val="32"/>
          <w:szCs w:val="32"/>
          <w:highlight w:val="none"/>
          <w:lang w:val="en-US" w:eastAsia="zh-CN"/>
        </w:rPr>
        <w:t>录取结果</w:t>
      </w:r>
      <w:r>
        <w:rPr>
          <w:rFonts w:hint="eastAsia" w:ascii="仿宋_GB2312" w:hAnsi="仿宋_GB2312" w:cs="仿宋_GB2312"/>
          <w:bCs/>
          <w:color w:val="auto"/>
          <w:kern w:val="0"/>
          <w:sz w:val="32"/>
          <w:szCs w:val="32"/>
          <w:highlight w:val="none"/>
        </w:rPr>
        <w:t>由学校</w:t>
      </w:r>
      <w:r>
        <w:rPr>
          <w:rFonts w:hint="eastAsia" w:ascii="仿宋_GB2312" w:hAnsi="仿宋_GB2312" w:cs="仿宋_GB2312"/>
          <w:bCs/>
          <w:color w:val="auto"/>
          <w:kern w:val="0"/>
          <w:sz w:val="32"/>
          <w:szCs w:val="32"/>
          <w:highlight w:val="none"/>
          <w:lang w:eastAsia="zh-CN"/>
        </w:rPr>
        <w:t>通过</w:t>
      </w:r>
      <w:r>
        <w:rPr>
          <w:rFonts w:hint="eastAsia" w:ascii="仿宋_GB2312" w:hAnsi="仿宋_GB2312" w:cs="仿宋_GB2312"/>
          <w:bCs/>
          <w:color w:val="auto"/>
          <w:kern w:val="0"/>
          <w:sz w:val="32"/>
          <w:szCs w:val="32"/>
          <w:highlight w:val="none"/>
        </w:rPr>
        <w:t>电话或短信</w:t>
      </w:r>
      <w:r>
        <w:rPr>
          <w:rFonts w:hint="eastAsia" w:ascii="仿宋_GB2312" w:hAnsi="仿宋_GB2312" w:cs="仿宋_GB2312"/>
          <w:bCs/>
          <w:color w:val="auto"/>
          <w:kern w:val="0"/>
          <w:sz w:val="32"/>
          <w:szCs w:val="32"/>
          <w:highlight w:val="none"/>
          <w:lang w:eastAsia="zh-CN"/>
        </w:rPr>
        <w:t>等方式</w:t>
      </w:r>
      <w:r>
        <w:rPr>
          <w:rFonts w:hint="eastAsia" w:ascii="仿宋_GB2312" w:hAnsi="仿宋_GB2312" w:cs="仿宋_GB2312"/>
          <w:bCs/>
          <w:color w:val="auto"/>
          <w:kern w:val="0"/>
          <w:sz w:val="32"/>
          <w:szCs w:val="32"/>
          <w:highlight w:val="none"/>
        </w:rPr>
        <w:t>通</w:t>
      </w:r>
      <w:r>
        <w:rPr>
          <w:rFonts w:hint="eastAsia" w:ascii="仿宋_GB2312" w:hAnsi="仿宋_GB2312" w:cs="仿宋_GB2312"/>
          <w:bCs/>
          <w:color w:val="auto"/>
          <w:kern w:val="0"/>
          <w:sz w:val="32"/>
          <w:szCs w:val="32"/>
          <w:highlight w:val="none"/>
          <w:lang w:val="en-US" w:eastAsia="zh-CN"/>
        </w:rPr>
        <w:t>知</w:t>
      </w:r>
      <w:r>
        <w:rPr>
          <w:rFonts w:hint="eastAsia" w:ascii="仿宋_GB2312" w:hAnsi="仿宋_GB2312" w:cs="仿宋_GB2312"/>
          <w:bCs/>
          <w:color w:val="auto"/>
          <w:kern w:val="0"/>
          <w:sz w:val="32"/>
          <w:szCs w:val="32"/>
          <w:highlight w:val="none"/>
        </w:rPr>
        <w:t>。</w:t>
      </w:r>
    </w:p>
    <w:p>
      <w:pPr>
        <w:pStyle w:val="3"/>
        <w:snapToGrid w:val="0"/>
        <w:spacing w:line="360" w:lineRule="auto"/>
        <w:ind w:left="0" w:firstLine="640" w:firstLineChars="200"/>
        <w:rPr>
          <w:rFonts w:hint="eastAsia" w:ascii="仿宋_GB2312" w:hAnsi="仿宋_GB2312" w:cs="仿宋_GB2312"/>
          <w:bCs/>
          <w:color w:val="auto"/>
          <w:kern w:val="0"/>
          <w:sz w:val="32"/>
          <w:szCs w:val="32"/>
          <w:highlight w:val="none"/>
        </w:rPr>
      </w:pPr>
      <w:r>
        <w:rPr>
          <w:rFonts w:hint="eastAsia" w:ascii="仿宋_GB2312" w:hAnsi="仿宋_GB2312" w:cs="仿宋_GB2312"/>
          <w:bCs/>
          <w:color w:val="auto"/>
          <w:kern w:val="0"/>
          <w:sz w:val="32"/>
          <w:szCs w:val="32"/>
          <w:highlight w:val="none"/>
        </w:rPr>
        <w:t>具体安排以学校招生公告为准。</w:t>
      </w:r>
    </w:p>
    <w:p>
      <w:pPr>
        <w:widowControl/>
        <w:tabs>
          <w:tab w:val="left" w:pos="1440"/>
        </w:tabs>
        <w:snapToGrid w:val="0"/>
        <w:spacing w:line="360" w:lineRule="auto"/>
        <w:ind w:right="0" w:firstLine="640" w:firstLineChars="200"/>
        <w:jc w:val="left"/>
        <w:rPr>
          <w:rFonts w:ascii="楷体_GB2312" w:hAnsi="楷体_GB2312" w:eastAsia="楷体_GB2312" w:cs="楷体_GB2312"/>
          <w:color w:val="auto"/>
          <w:kern w:val="0"/>
          <w:sz w:val="32"/>
          <w:szCs w:val="32"/>
          <w:highlight w:val="none"/>
        </w:rPr>
      </w:pPr>
      <w:r>
        <w:rPr>
          <w:rFonts w:hint="eastAsia" w:ascii="黑体" w:hAnsi="黑体" w:eastAsia="黑体" w:cs="黑体"/>
          <w:color w:val="auto"/>
          <w:kern w:val="0"/>
          <w:sz w:val="32"/>
          <w:szCs w:val="32"/>
          <w:highlight w:val="none"/>
        </w:rPr>
        <w:t>七、民办小学入学程序</w:t>
      </w:r>
    </w:p>
    <w:p>
      <w:pPr>
        <w:spacing w:line="360" w:lineRule="auto"/>
        <w:ind w:firstLine="640" w:firstLineChars="200"/>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snapToGrid w:val="0"/>
          <w:color w:val="auto"/>
          <w:kern w:val="0"/>
          <w:sz w:val="32"/>
          <w:szCs w:val="32"/>
          <w:highlight w:val="none"/>
        </w:rPr>
        <w:t>花都区辖区内民办小学原则上面向花都区内招生，无寄宿条件</w:t>
      </w:r>
      <w:r>
        <w:rPr>
          <w:rFonts w:hint="eastAsia" w:ascii="仿宋_GB2312" w:hAnsi="仿宋_GB2312" w:eastAsia="仿宋_GB2312" w:cs="仿宋_GB2312"/>
          <w:snapToGrid w:val="0"/>
          <w:color w:val="auto"/>
          <w:sz w:val="32"/>
          <w:szCs w:val="32"/>
          <w:highlight w:val="none"/>
        </w:rPr>
        <w:t>且未经核准跨区招生</w:t>
      </w:r>
      <w:r>
        <w:rPr>
          <w:rFonts w:hint="eastAsia" w:ascii="仿宋_GB2312" w:hAnsi="仿宋_GB2312" w:eastAsia="仿宋_GB2312" w:cs="仿宋_GB2312"/>
          <w:snapToGrid w:val="0"/>
          <w:color w:val="auto"/>
          <w:kern w:val="0"/>
          <w:sz w:val="32"/>
          <w:szCs w:val="32"/>
          <w:highlight w:val="none"/>
        </w:rPr>
        <w:t>的民办小学不得跨区招生。民办小学招生实行网上报名。适龄儿童的父母或其他法定</w:t>
      </w:r>
      <w:r>
        <w:rPr>
          <w:rFonts w:hint="eastAsia" w:ascii="仿宋_GB2312" w:hAnsi="仿宋_GB2312" w:eastAsia="仿宋_GB2312" w:cs="仿宋_GB2312"/>
          <w:snapToGrid w:val="0"/>
          <w:color w:val="auto"/>
          <w:kern w:val="0"/>
          <w:sz w:val="32"/>
          <w:szCs w:val="32"/>
          <w:highlight w:val="none"/>
          <w:lang w:eastAsia="zh-CN"/>
        </w:rPr>
        <w:t>法定监护人</w:t>
      </w:r>
      <w:r>
        <w:rPr>
          <w:rFonts w:hint="eastAsia" w:ascii="仿宋_GB2312" w:hAnsi="仿宋_GB2312" w:eastAsia="仿宋_GB2312" w:cs="仿宋_GB2312"/>
          <w:snapToGrid w:val="0"/>
          <w:color w:val="auto"/>
          <w:kern w:val="0"/>
          <w:sz w:val="32"/>
          <w:szCs w:val="32"/>
          <w:highlight w:val="none"/>
        </w:rPr>
        <w:t>在报名时应充分了解民办小学办学条件、收费标准等情况。适龄儿童的父母或其他法定</w:t>
      </w:r>
      <w:r>
        <w:rPr>
          <w:rFonts w:hint="eastAsia" w:ascii="仿宋_GB2312" w:hAnsi="仿宋_GB2312" w:eastAsia="仿宋_GB2312" w:cs="仿宋_GB2312"/>
          <w:snapToGrid w:val="0"/>
          <w:color w:val="auto"/>
          <w:kern w:val="0"/>
          <w:sz w:val="32"/>
          <w:szCs w:val="32"/>
          <w:highlight w:val="none"/>
          <w:lang w:eastAsia="zh-CN"/>
        </w:rPr>
        <w:t>法定监护人</w:t>
      </w:r>
      <w:r>
        <w:rPr>
          <w:rFonts w:hint="eastAsia" w:ascii="仿宋_GB2312" w:hAnsi="仿宋_GB2312" w:eastAsia="仿宋_GB2312" w:cs="仿宋_GB2312"/>
          <w:snapToGrid w:val="0"/>
          <w:color w:val="auto"/>
          <w:kern w:val="0"/>
          <w:sz w:val="32"/>
          <w:szCs w:val="32"/>
          <w:highlight w:val="none"/>
        </w:rPr>
        <w:t>于5月10-15日登录“广州市义务教育学校招生报名系统”（网址：zs.gzeducms.cn），按要求如实填写学生相关情况，完成学生报名信息采集等工作。不具备网上报名条件的学生家庭，可向拟报名的民办小学提出申请，由学校提供网上报名服务。报名人数大于招生计划数的民办小学，实行电脑派位随机录取。电脑派位工作由花都区教育局统一组织实施。具体详见《2024年花都区义务教育学校招生工作方案》</w:t>
      </w:r>
      <w:r>
        <w:rPr>
          <w:rFonts w:hint="eastAsia" w:ascii="仿宋_GB2312" w:hAnsi="仿宋_GB2312" w:eastAsia="仿宋_GB2312" w:cs="仿宋_GB2312"/>
          <w:snapToGrid w:val="0"/>
          <w:color w:val="auto"/>
          <w:kern w:val="0"/>
          <w:sz w:val="32"/>
          <w:szCs w:val="32"/>
          <w:highlight w:val="none"/>
          <w:lang w:val="en-US" w:eastAsia="zh-CN"/>
        </w:rPr>
        <w:t>的</w:t>
      </w:r>
      <w:r>
        <w:rPr>
          <w:rFonts w:hint="eastAsia" w:ascii="仿宋_GB2312" w:hAnsi="仿宋_GB2312" w:eastAsia="仿宋_GB2312" w:cs="仿宋_GB2312"/>
          <w:snapToGrid w:val="0"/>
          <w:color w:val="auto"/>
          <w:kern w:val="0"/>
          <w:sz w:val="32"/>
          <w:szCs w:val="32"/>
          <w:highlight w:val="none"/>
        </w:rPr>
        <w:t>附件1《花都区民办义务教育学校招生工作实施方案》。</w:t>
      </w:r>
    </w:p>
    <w:p>
      <w:pPr>
        <w:pStyle w:val="3"/>
        <w:snapToGrid w:val="0"/>
        <w:spacing w:line="360" w:lineRule="auto"/>
        <w:ind w:left="0" w:firstLine="640" w:firstLineChars="200"/>
        <w:rPr>
          <w:rFonts w:hint="eastAsia" w:ascii="仿宋_GB2312" w:hAnsi="仿宋_GB2312" w:cs="仿宋_GB2312"/>
          <w:bCs/>
          <w:color w:val="auto"/>
          <w:kern w:val="0"/>
          <w:sz w:val="32"/>
          <w:szCs w:val="32"/>
          <w:highlight w:val="none"/>
        </w:rPr>
      </w:pPr>
    </w:p>
    <w:p>
      <w:pPr>
        <w:tabs>
          <w:tab w:val="left" w:pos="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rPr>
        <w:t>城区小学定点招收村籍适龄儿童情况一览表</w:t>
      </w:r>
    </w:p>
    <w:p>
      <w:pPr>
        <w:tabs>
          <w:tab w:val="left" w:pos="0"/>
        </w:tabs>
        <w:spacing w:line="360" w:lineRule="auto"/>
        <w:ind w:firstLine="640" w:firstLineChars="200"/>
        <w:rPr>
          <w:rFonts w:hint="eastAsia" w:ascii="仿宋_GB2312" w:hAnsi="仿宋_GB2312" w:eastAsia="仿宋_GB2312" w:cs="仿宋_GB2312"/>
          <w:color w:val="auto"/>
          <w:sz w:val="32"/>
          <w:szCs w:val="32"/>
          <w:highlight w:val="none"/>
        </w:rPr>
      </w:pPr>
    </w:p>
    <w:p>
      <w:pPr>
        <w:widowControl/>
        <w:spacing w:line="360" w:lineRule="auto"/>
        <w:ind w:firstLine="640" w:firstLineChars="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广州市花都区教育局城区教育指导中心</w:t>
      </w:r>
    </w:p>
    <w:p>
      <w:pPr>
        <w:widowControl/>
        <w:spacing w:line="360" w:lineRule="auto"/>
        <w:ind w:firstLine="640" w:firstLineChars="200"/>
        <w:jc w:val="righ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                            2024年4月</w:t>
      </w:r>
      <w:r>
        <w:rPr>
          <w:rFonts w:hint="eastAsia" w:ascii="仿宋_GB2312" w:hAnsi="仿宋_GB2312" w:eastAsia="仿宋_GB2312" w:cs="仿宋_GB2312"/>
          <w:color w:val="auto"/>
          <w:kern w:val="0"/>
          <w:sz w:val="32"/>
          <w:szCs w:val="32"/>
          <w:highlight w:val="none"/>
          <w:lang w:val="en-US" w:eastAsia="zh-CN"/>
        </w:rPr>
        <w:t>30</w:t>
      </w:r>
      <w:bookmarkStart w:id="0" w:name="_GoBack"/>
      <w:bookmarkEnd w:id="0"/>
      <w:r>
        <w:rPr>
          <w:rFonts w:hint="eastAsia" w:ascii="仿宋_GB2312" w:hAnsi="仿宋_GB2312" w:eastAsia="仿宋_GB2312" w:cs="仿宋_GB2312"/>
          <w:color w:val="auto"/>
          <w:kern w:val="0"/>
          <w:sz w:val="32"/>
          <w:szCs w:val="32"/>
          <w:highlight w:val="none"/>
        </w:rPr>
        <w:t>日</w:t>
      </w:r>
    </w:p>
    <w:p>
      <w:pPr>
        <w:pStyle w:val="2"/>
        <w:spacing w:before="0" w:after="0" w:line="360" w:lineRule="auto"/>
        <w:ind w:firstLine="680" w:firstLineChars="200"/>
        <w:rPr>
          <w:rFonts w:hint="eastAsia"/>
          <w:color w:val="auto"/>
          <w:highlight w:val="none"/>
        </w:rPr>
      </w:pP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联系人：</w:t>
      </w:r>
      <w:r>
        <w:rPr>
          <w:rFonts w:hint="eastAsia" w:ascii="仿宋_GB2312" w:hAnsi="仿宋_GB2312" w:eastAsia="仿宋_GB2312" w:cs="仿宋_GB2312"/>
          <w:color w:val="auto"/>
          <w:kern w:val="0"/>
          <w:sz w:val="32"/>
          <w:szCs w:val="32"/>
          <w:highlight w:val="none"/>
          <w:lang w:eastAsia="zh-CN"/>
        </w:rPr>
        <w:t>城区教育指导中心</w:t>
      </w:r>
      <w:r>
        <w:rPr>
          <w:rFonts w:hint="eastAsia" w:ascii="仿宋_GB2312" w:hAnsi="仿宋_GB2312" w:eastAsia="仿宋_GB2312" w:cs="仿宋_GB2312"/>
          <w:color w:val="auto"/>
          <w:kern w:val="0"/>
          <w:sz w:val="32"/>
          <w:szCs w:val="32"/>
          <w:highlight w:val="none"/>
          <w:lang w:val="en-US" w:eastAsia="zh-CN"/>
        </w:rPr>
        <w:t xml:space="preserve"> ，联系电话：</w:t>
      </w:r>
      <w:r>
        <w:rPr>
          <w:rFonts w:hint="eastAsia" w:ascii="仿宋_GB2312" w:hAnsi="仿宋_GB2312" w:eastAsia="仿宋_GB2312" w:cs="仿宋_GB2312"/>
          <w:color w:val="auto"/>
          <w:kern w:val="0"/>
          <w:sz w:val="32"/>
          <w:szCs w:val="32"/>
          <w:highlight w:val="none"/>
        </w:rPr>
        <w:t>36836030</w:t>
      </w:r>
      <w:r>
        <w:rPr>
          <w:rFonts w:hint="eastAsia" w:ascii="仿宋_GB2312" w:hAnsi="仿宋_GB2312" w:eastAsia="仿宋_GB2312" w:cs="仿宋_GB2312"/>
          <w:color w:val="auto"/>
          <w:kern w:val="0"/>
          <w:sz w:val="32"/>
          <w:szCs w:val="32"/>
          <w:highlight w:val="none"/>
          <w:lang w:eastAsia="zh-CN"/>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sectPr>
          <w:headerReference r:id="rId3" w:type="default"/>
          <w:footerReference r:id="rId4" w:type="default"/>
          <w:footerReference r:id="rId5" w:type="even"/>
          <w:pgSz w:w="11906" w:h="16838"/>
          <w:pgMar w:top="1587" w:right="1417" w:bottom="1587" w:left="1417" w:header="851" w:footer="992" w:gutter="0"/>
          <w:pgNumType w:fmt="numberInDash"/>
          <w:cols w:space="720" w:num="1"/>
          <w:docGrid w:type="lines" w:linePitch="312" w:charSpace="0"/>
        </w:sectPr>
      </w:pPr>
    </w:p>
    <w:p>
      <w:pPr>
        <w:widowControl/>
        <w:spacing w:line="360" w:lineRule="auto"/>
        <w:ind w:firstLine="0" w:firstLineChars="0"/>
        <w:jc w:val="left"/>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附件</w:t>
      </w:r>
    </w:p>
    <w:p>
      <w:pPr>
        <w:widowControl/>
        <w:spacing w:line="360" w:lineRule="auto"/>
        <w:ind w:firstLine="720" w:firstLineChars="200"/>
        <w:jc w:val="center"/>
        <w:rPr>
          <w:rFonts w:hint="eastAsia" w:ascii="方正小标宋简体" w:hAnsi="方正小标宋简体" w:eastAsia="方正小标宋简体" w:cs="方正小标宋简体"/>
          <w:color w:val="auto"/>
          <w:kern w:val="0"/>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rPr>
        <w:t>城区小学定点招</w:t>
      </w:r>
      <w:r>
        <w:rPr>
          <w:rFonts w:hint="eastAsia" w:ascii="方正小标宋简体" w:hAnsi="方正小标宋简体" w:eastAsia="方正小标宋简体" w:cs="方正小标宋简体"/>
          <w:bCs/>
          <w:color w:val="auto"/>
          <w:sz w:val="36"/>
          <w:szCs w:val="36"/>
          <w:highlight w:val="none"/>
          <w:lang w:val="en-US" w:eastAsia="zh-CN"/>
        </w:rPr>
        <w:t>收</w:t>
      </w:r>
      <w:r>
        <w:rPr>
          <w:rFonts w:hint="eastAsia" w:ascii="方正小标宋简体" w:hAnsi="方正小标宋简体" w:eastAsia="方正小标宋简体" w:cs="方正小标宋简体"/>
          <w:bCs/>
          <w:color w:val="auto"/>
          <w:sz w:val="36"/>
          <w:szCs w:val="36"/>
          <w:highlight w:val="none"/>
        </w:rPr>
        <w:t>村籍适龄儿童</w:t>
      </w:r>
      <w:r>
        <w:rPr>
          <w:rFonts w:hint="eastAsia" w:ascii="方正小标宋简体" w:hAnsi="方正小标宋简体" w:eastAsia="方正小标宋简体" w:cs="方正小标宋简体"/>
          <w:bCs/>
          <w:color w:val="auto"/>
          <w:sz w:val="36"/>
          <w:szCs w:val="36"/>
          <w:highlight w:val="none"/>
          <w:lang w:val="en-US" w:eastAsia="zh-CN"/>
        </w:rPr>
        <w:t>情况一览表</w:t>
      </w:r>
    </w:p>
    <w:tbl>
      <w:tblPr>
        <w:tblStyle w:val="8"/>
        <w:tblW w:w="5122" w:type="pct"/>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3"/>
        <w:gridCol w:w="7580"/>
        <w:gridCol w:w="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602" w:firstLineChars="200"/>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学校</w:t>
            </w:r>
          </w:p>
        </w:tc>
        <w:tc>
          <w:tcPr>
            <w:tcW w:w="2665" w:type="pct"/>
            <w:noWrap w:val="0"/>
            <w:vAlign w:val="center"/>
          </w:tcPr>
          <w:p>
            <w:pPr>
              <w:spacing w:line="600" w:lineRule="exact"/>
              <w:ind w:firstLine="602" w:firstLineChars="200"/>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定点对口生范围</w:t>
            </w:r>
          </w:p>
        </w:tc>
        <w:tc>
          <w:tcPr>
            <w:tcW w:w="343" w:type="pct"/>
            <w:noWrap w:val="0"/>
            <w:vAlign w:val="center"/>
          </w:tcPr>
          <w:p>
            <w:pPr>
              <w:spacing w:line="600" w:lineRule="exact"/>
              <w:ind w:firstLine="0" w:firstLineChars="0"/>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广州市花都区新华街第一小学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定点招收新华村、新街村、大陵村户籍适龄儿童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广州市花都区新华街第七小学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定点招收田美村8、9、10队户籍适龄儿童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广州市花都区新华街培新学校（小学部）</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定点招收横潭村户籍适龄儿童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广州市花都区新华街第五小学五华校区</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定点招收五华村户籍适龄儿童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广州市花都区新华街棠澍小学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定点招收大华村和三华村5、6、7、8队户籍适龄儿童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广州市花都区圆玄小学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定点招收公益村户籍适龄儿童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广州市花都区新雅街雅瑶小学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w:t>
            </w:r>
            <w:r>
              <w:rPr>
                <w:rFonts w:hint="eastAsia" w:ascii="仿宋_GB2312" w:hAnsi="仿宋_GB2312" w:eastAsia="仿宋_GB2312" w:cs="仿宋_GB2312"/>
                <w:color w:val="auto"/>
                <w:kern w:val="0"/>
                <w:sz w:val="30"/>
                <w:szCs w:val="30"/>
                <w:highlight w:val="none"/>
              </w:rPr>
              <w:t>新村、旧村、邝家庄、岑境村、三向村、雅瑶居委</w:t>
            </w:r>
            <w:r>
              <w:rPr>
                <w:rFonts w:hint="eastAsia" w:ascii="仿宋_GB2312" w:hAnsi="仿宋_GB2312" w:eastAsia="仿宋_GB2312" w:cs="仿宋_GB2312"/>
                <w:color w:val="auto"/>
                <w:sz w:val="30"/>
                <w:szCs w:val="30"/>
                <w:highlight w:val="none"/>
              </w:rPr>
              <w:t>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广州市花都区骏威小学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定点招收三东村户籍适龄儿童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广州市花都区新华街云山学校龙珠校区（小学部）</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定点招收田美村1、2、3、4、11、12、13、14队、北五队户籍适龄儿童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广州市花都区新华街云山学校田美校区（小学部）</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定点招收除定点七小、龙珠校区外的田美村户籍适龄儿童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广州市花都区新雅街尚雅小学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定点招收除大窝经济合作社外清㘵村户籍适龄儿童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广州市花都区新雅街广塘小学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定点招收广塘村户籍适龄儿童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广州市花都区新雅街新雅小学（和雅校区）</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定点招收大窝经济合作社户籍适龄儿童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广</w:t>
            </w:r>
            <w:r>
              <w:rPr>
                <w:rFonts w:hint="eastAsia" w:ascii="仿宋_GB2312" w:hAnsi="仿宋_GB2312" w:eastAsia="仿宋_GB2312" w:cs="仿宋_GB2312"/>
                <w:color w:val="auto"/>
                <w:sz w:val="30"/>
                <w:szCs w:val="30"/>
                <w:highlight w:val="none"/>
              </w:rPr>
              <w:t>州市花都区新雅街东塘小学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定点招收东莞村、石塘村和东镜村户籍适龄儿童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广州市花都区秀全街红棉小学</w:t>
            </w:r>
          </w:p>
        </w:tc>
        <w:tc>
          <w:tcPr>
            <w:tcW w:w="2665"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定点招收九潭村、官溪村、岐山村、马溪村、大㘵村、朱村、乐同村户籍适龄儿童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广州市花都区花城街石岗小学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定点招收石岗村户籍适龄儿童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广州市花都区花城街杨屋第一小学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定点招收杨一村户籍适龄儿童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广州市花都区花城街杨屋第二小学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定点招收杨二村户籍适龄儿童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广州市花都区花城街卢永根纪念小学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定点招收长岗村户籍适龄儿童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广州市花都区花城街罗仙小学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定点招收罗仙村户籍适龄儿童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91" w:type="pct"/>
            <w:noWrap w:val="0"/>
            <w:vAlign w:val="center"/>
          </w:tcPr>
          <w:p>
            <w:pPr>
              <w:spacing w:line="600" w:lineRule="exact"/>
              <w:ind w:firstLine="0" w:firstLineChars="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广州市花都区花城街东边小学</w:t>
            </w:r>
          </w:p>
        </w:tc>
        <w:tc>
          <w:tcPr>
            <w:tcW w:w="2665"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定点招收东边村户籍适龄儿童</w:t>
            </w:r>
          </w:p>
        </w:tc>
        <w:tc>
          <w:tcPr>
            <w:tcW w:w="343" w:type="pct"/>
            <w:noWrap w:val="0"/>
            <w:vAlign w:val="center"/>
          </w:tcPr>
          <w:p>
            <w:pPr>
              <w:spacing w:line="600" w:lineRule="exact"/>
              <w:ind w:firstLine="600" w:firstLineChars="200"/>
              <w:jc w:val="center"/>
              <w:rPr>
                <w:rFonts w:hint="eastAsia" w:ascii="仿宋_GB2312" w:hAnsi="仿宋_GB2312" w:eastAsia="仿宋_GB2312" w:cs="仿宋_GB2312"/>
                <w:color w:val="auto"/>
                <w:sz w:val="30"/>
                <w:szCs w:val="30"/>
                <w:highlight w:val="none"/>
              </w:rPr>
            </w:pPr>
          </w:p>
        </w:tc>
      </w:tr>
    </w:tbl>
    <w:p>
      <w:pPr>
        <w:pStyle w:val="2"/>
        <w:spacing w:before="0" w:after="0" w:line="360" w:lineRule="auto"/>
        <w:ind w:firstLine="680" w:firstLineChars="200"/>
        <w:rPr>
          <w:rFonts w:hint="eastAsia" w:eastAsia="仿宋_GB2312"/>
          <w:color w:val="auto"/>
          <w:highlight w:val="none"/>
          <w:lang w:eastAsia="zh-CN"/>
        </w:rPr>
      </w:pPr>
    </w:p>
    <w:sectPr>
      <w:pgSz w:w="16838" w:h="11906" w:orient="landscape"/>
      <w:pgMar w:top="1417" w:right="1587" w:bottom="141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BC0233-B6CF-49FA-BF5E-8DFA3937A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AB3D01F-48C2-4E3E-9390-05FE3B089745}"/>
  </w:font>
  <w:font w:name="方正小标宋_GBK">
    <w:panose1 w:val="03000509000000000000"/>
    <w:charset w:val="86"/>
    <w:family w:val="auto"/>
    <w:pitch w:val="default"/>
    <w:sig w:usb0="00000001" w:usb1="080E0000" w:usb2="00000000" w:usb3="00000000" w:csb0="00040000" w:csb1="00000000"/>
    <w:embedRegular r:id="rId3" w:fontKey="{6A2744B4-C79F-48D8-A0AC-3DA987E70DB0}"/>
  </w:font>
  <w:font w:name="仿宋">
    <w:panose1 w:val="02010609060101010101"/>
    <w:charset w:val="86"/>
    <w:family w:val="modern"/>
    <w:pitch w:val="default"/>
    <w:sig w:usb0="800002BF" w:usb1="38CF7CFA" w:usb2="00000016" w:usb3="00000000" w:csb0="00040001" w:csb1="00000000"/>
    <w:embedRegular r:id="rId4" w:fontKey="{B04360B0-B7C8-4EEF-B9FF-8F300DD258A0}"/>
  </w:font>
  <w:font w:name="楷体">
    <w:panose1 w:val="02010609060101010101"/>
    <w:charset w:val="86"/>
    <w:family w:val="modern"/>
    <w:pitch w:val="default"/>
    <w:sig w:usb0="800002BF" w:usb1="38CF7CFA" w:usb2="00000016" w:usb3="00000000" w:csb0="00040001" w:csb1="00000000"/>
    <w:embedRegular r:id="rId5" w:fontKey="{129EBF64-6B29-4498-B216-01C0E80607F5}"/>
  </w:font>
  <w:font w:name="楷体_GB2312">
    <w:panose1 w:val="02010609030101010101"/>
    <w:charset w:val="86"/>
    <w:family w:val="modern"/>
    <w:pitch w:val="default"/>
    <w:sig w:usb0="00000001" w:usb1="080E0000" w:usb2="00000000" w:usb3="00000000" w:csb0="00040000" w:csb1="00000000"/>
    <w:embedRegular r:id="rId6" w:fontKey="{1B3CF4EA-1E53-419C-871B-683CAE5A4112}"/>
  </w:font>
  <w:font w:name="方正小标宋简体">
    <w:panose1 w:val="03000509000000000000"/>
    <w:charset w:val="86"/>
    <w:family w:val="auto"/>
    <w:pitch w:val="default"/>
    <w:sig w:usb0="00000001" w:usb1="080E0000" w:usb2="00000000" w:usb3="00000000" w:csb0="00040000" w:csb1="00000000"/>
    <w:embedRegular r:id="rId7" w:fontKey="{0883B10A-F016-4412-99AA-AC98CF98CF5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rPr>
                              <w:rStyle w:val="11"/>
                            </w:rPr>
                          </w:pPr>
                          <w:r>
                            <w:fldChar w:fldCharType="begin"/>
                          </w:r>
                          <w:r>
                            <w:rPr>
                              <w:rStyle w:val="11"/>
                            </w:rPr>
                            <w:instrText xml:space="preserve">PAGE  </w:instrText>
                          </w:r>
                          <w:r>
                            <w:fldChar w:fldCharType="separate"/>
                          </w:r>
                          <w:r>
                            <w:rPr>
                              <w:rStyle w:val="11"/>
                            </w:rPr>
                            <w:t>- 4 -</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C6&#10;ujjc7AEAANYDAAAOAAAAAAAAAAEAIAAAACIBAABkcnMvZTJvRG9jLnhtbFBLBQYAAAAABgAGAFkB&#10;AACABQAAAAA=&#10;">
              <v:fill on="f" focussize="0,0"/>
              <v:stroke on="f" weight="1.2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35EA9"/>
    <w:multiLevelType w:val="multilevel"/>
    <w:tmpl w:val="3D035EA9"/>
    <w:lvl w:ilvl="0" w:tentative="0">
      <w:start w:val="1"/>
      <w:numFmt w:val="japaneseCounting"/>
      <w:pStyle w:val="14"/>
      <w:lvlText w:val="%1、"/>
      <w:lvlJc w:val="left"/>
      <w:pPr>
        <w:tabs>
          <w:tab w:val="left" w:pos="855"/>
        </w:tabs>
        <w:ind w:left="855" w:hanging="420"/>
      </w:pPr>
      <w:rPr>
        <w:rFonts w:hint="eastAsia"/>
      </w:rPr>
    </w:lvl>
    <w:lvl w:ilvl="1" w:tentative="0">
      <w:start w:val="1"/>
      <w:numFmt w:val="japaneseCounting"/>
      <w:lvlText w:val="（%2）"/>
      <w:lvlJc w:val="left"/>
      <w:pPr>
        <w:tabs>
          <w:tab w:val="left" w:pos="1575"/>
        </w:tabs>
        <w:ind w:left="1575" w:hanging="720"/>
      </w:pPr>
      <w:rPr>
        <w:rFonts w:hint="eastAsia"/>
        <w:lang w:val="en-US"/>
      </w:rPr>
    </w:lvl>
    <w:lvl w:ilvl="2" w:tentative="0">
      <w:start w:val="1"/>
      <w:numFmt w:val="decimal"/>
      <w:lvlText w:val="%3、"/>
      <w:lvlJc w:val="left"/>
      <w:pPr>
        <w:tabs>
          <w:tab w:val="left" w:pos="1635"/>
        </w:tabs>
        <w:ind w:left="1635" w:hanging="360"/>
      </w:pPr>
      <w:rPr>
        <w:rFonts w:hint="eastAsia"/>
      </w:r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453A15B6"/>
    <w:multiLevelType w:val="multilevel"/>
    <w:tmpl w:val="453A15B6"/>
    <w:lvl w:ilvl="0" w:tentative="0">
      <w:start w:val="1"/>
      <w:numFmt w:val="chineseCountingThousand"/>
      <w:pStyle w:val="15"/>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E5ODQ1NGUxZjg4OWM2ZjEwNTRmNmM5MzlmNmQifQ=="/>
  </w:docVars>
  <w:rsids>
    <w:rsidRoot w:val="00A13D82"/>
    <w:rsid w:val="00000BEC"/>
    <w:rsid w:val="000033C6"/>
    <w:rsid w:val="00006E5D"/>
    <w:rsid w:val="0001302E"/>
    <w:rsid w:val="000148DD"/>
    <w:rsid w:val="00015603"/>
    <w:rsid w:val="000260C9"/>
    <w:rsid w:val="000263D2"/>
    <w:rsid w:val="00034BCD"/>
    <w:rsid w:val="00035FEE"/>
    <w:rsid w:val="00047124"/>
    <w:rsid w:val="00047F33"/>
    <w:rsid w:val="000555EC"/>
    <w:rsid w:val="00057DD4"/>
    <w:rsid w:val="0007338D"/>
    <w:rsid w:val="00073EDE"/>
    <w:rsid w:val="00076E3C"/>
    <w:rsid w:val="00081DA9"/>
    <w:rsid w:val="00083412"/>
    <w:rsid w:val="00086163"/>
    <w:rsid w:val="00091D49"/>
    <w:rsid w:val="000926E6"/>
    <w:rsid w:val="00094B48"/>
    <w:rsid w:val="000951B1"/>
    <w:rsid w:val="00095A32"/>
    <w:rsid w:val="00095D57"/>
    <w:rsid w:val="000A0AEE"/>
    <w:rsid w:val="000A1183"/>
    <w:rsid w:val="000A181A"/>
    <w:rsid w:val="000A5065"/>
    <w:rsid w:val="000A58B1"/>
    <w:rsid w:val="000B0A45"/>
    <w:rsid w:val="000B0EA3"/>
    <w:rsid w:val="000B1968"/>
    <w:rsid w:val="000B3066"/>
    <w:rsid w:val="000B5AE7"/>
    <w:rsid w:val="000B67D1"/>
    <w:rsid w:val="000D2366"/>
    <w:rsid w:val="000D53C6"/>
    <w:rsid w:val="000D5B4D"/>
    <w:rsid w:val="001013E7"/>
    <w:rsid w:val="00111768"/>
    <w:rsid w:val="001217E4"/>
    <w:rsid w:val="00127055"/>
    <w:rsid w:val="00130145"/>
    <w:rsid w:val="001338F1"/>
    <w:rsid w:val="001360CD"/>
    <w:rsid w:val="0013680A"/>
    <w:rsid w:val="001623A1"/>
    <w:rsid w:val="00165087"/>
    <w:rsid w:val="00166D7C"/>
    <w:rsid w:val="00175D2F"/>
    <w:rsid w:val="001855D3"/>
    <w:rsid w:val="00185FFC"/>
    <w:rsid w:val="00190233"/>
    <w:rsid w:val="0019407F"/>
    <w:rsid w:val="001B6056"/>
    <w:rsid w:val="001B6F87"/>
    <w:rsid w:val="001D22F6"/>
    <w:rsid w:val="001D754C"/>
    <w:rsid w:val="001E05BA"/>
    <w:rsid w:val="001E6AD6"/>
    <w:rsid w:val="001F0D34"/>
    <w:rsid w:val="001F1160"/>
    <w:rsid w:val="002000A6"/>
    <w:rsid w:val="00202EEC"/>
    <w:rsid w:val="00210294"/>
    <w:rsid w:val="00213469"/>
    <w:rsid w:val="00221375"/>
    <w:rsid w:val="002244ED"/>
    <w:rsid w:val="00232AD7"/>
    <w:rsid w:val="00233DD7"/>
    <w:rsid w:val="00251FD4"/>
    <w:rsid w:val="00252843"/>
    <w:rsid w:val="00265CBE"/>
    <w:rsid w:val="00280397"/>
    <w:rsid w:val="002826AC"/>
    <w:rsid w:val="00283A8F"/>
    <w:rsid w:val="00287653"/>
    <w:rsid w:val="002963DA"/>
    <w:rsid w:val="002A6618"/>
    <w:rsid w:val="002A72E2"/>
    <w:rsid w:val="002C00CF"/>
    <w:rsid w:val="002C046B"/>
    <w:rsid w:val="002D76D8"/>
    <w:rsid w:val="002E4799"/>
    <w:rsid w:val="002F01FD"/>
    <w:rsid w:val="0030130F"/>
    <w:rsid w:val="003025E5"/>
    <w:rsid w:val="00305C37"/>
    <w:rsid w:val="003101EF"/>
    <w:rsid w:val="00312428"/>
    <w:rsid w:val="0031496A"/>
    <w:rsid w:val="00324931"/>
    <w:rsid w:val="003319AE"/>
    <w:rsid w:val="003361A5"/>
    <w:rsid w:val="00337F13"/>
    <w:rsid w:val="00353801"/>
    <w:rsid w:val="00354E2D"/>
    <w:rsid w:val="00355B73"/>
    <w:rsid w:val="00355D51"/>
    <w:rsid w:val="00360BF6"/>
    <w:rsid w:val="00365DB3"/>
    <w:rsid w:val="00367947"/>
    <w:rsid w:val="003740F1"/>
    <w:rsid w:val="00380531"/>
    <w:rsid w:val="003824E5"/>
    <w:rsid w:val="00392056"/>
    <w:rsid w:val="0039399B"/>
    <w:rsid w:val="003A11CB"/>
    <w:rsid w:val="003A1EAC"/>
    <w:rsid w:val="003B07A1"/>
    <w:rsid w:val="003C6D44"/>
    <w:rsid w:val="003D26D5"/>
    <w:rsid w:val="003D4000"/>
    <w:rsid w:val="003E3618"/>
    <w:rsid w:val="003E4ADA"/>
    <w:rsid w:val="003E5975"/>
    <w:rsid w:val="003F403B"/>
    <w:rsid w:val="003F7EA7"/>
    <w:rsid w:val="0040463D"/>
    <w:rsid w:val="0041399E"/>
    <w:rsid w:val="00424BE1"/>
    <w:rsid w:val="00430025"/>
    <w:rsid w:val="004326D3"/>
    <w:rsid w:val="004330B1"/>
    <w:rsid w:val="00436148"/>
    <w:rsid w:val="004470F1"/>
    <w:rsid w:val="00453623"/>
    <w:rsid w:val="00460192"/>
    <w:rsid w:val="00462197"/>
    <w:rsid w:val="004654D0"/>
    <w:rsid w:val="00466A6B"/>
    <w:rsid w:val="00473A2F"/>
    <w:rsid w:val="00475704"/>
    <w:rsid w:val="00490490"/>
    <w:rsid w:val="00493B07"/>
    <w:rsid w:val="004C4618"/>
    <w:rsid w:val="004C6306"/>
    <w:rsid w:val="004C658A"/>
    <w:rsid w:val="004D0A57"/>
    <w:rsid w:val="004D12E9"/>
    <w:rsid w:val="004F6D98"/>
    <w:rsid w:val="00504D9C"/>
    <w:rsid w:val="005073C8"/>
    <w:rsid w:val="00510964"/>
    <w:rsid w:val="005151EA"/>
    <w:rsid w:val="00533FCD"/>
    <w:rsid w:val="005364DD"/>
    <w:rsid w:val="005409C1"/>
    <w:rsid w:val="00551AF8"/>
    <w:rsid w:val="005553C4"/>
    <w:rsid w:val="00556C88"/>
    <w:rsid w:val="0056028A"/>
    <w:rsid w:val="00561AB6"/>
    <w:rsid w:val="00566B88"/>
    <w:rsid w:val="00570F34"/>
    <w:rsid w:val="00590BFA"/>
    <w:rsid w:val="005A2AFD"/>
    <w:rsid w:val="005A70C3"/>
    <w:rsid w:val="005C69C3"/>
    <w:rsid w:val="005C72F0"/>
    <w:rsid w:val="005C79E6"/>
    <w:rsid w:val="005E01F3"/>
    <w:rsid w:val="005E2721"/>
    <w:rsid w:val="005E3628"/>
    <w:rsid w:val="005E3696"/>
    <w:rsid w:val="005E3FDD"/>
    <w:rsid w:val="005F0D01"/>
    <w:rsid w:val="0060232A"/>
    <w:rsid w:val="006038DD"/>
    <w:rsid w:val="00606FED"/>
    <w:rsid w:val="0061096A"/>
    <w:rsid w:val="00613EF0"/>
    <w:rsid w:val="006158C8"/>
    <w:rsid w:val="00620147"/>
    <w:rsid w:val="00622A2D"/>
    <w:rsid w:val="00635812"/>
    <w:rsid w:val="00653E06"/>
    <w:rsid w:val="00654B5F"/>
    <w:rsid w:val="00655A8C"/>
    <w:rsid w:val="006579FC"/>
    <w:rsid w:val="00657B7B"/>
    <w:rsid w:val="00663FB3"/>
    <w:rsid w:val="0067619F"/>
    <w:rsid w:val="006906B4"/>
    <w:rsid w:val="006924E1"/>
    <w:rsid w:val="00692FA8"/>
    <w:rsid w:val="00695310"/>
    <w:rsid w:val="006A5498"/>
    <w:rsid w:val="006B7CD5"/>
    <w:rsid w:val="006D248F"/>
    <w:rsid w:val="006D4CCE"/>
    <w:rsid w:val="006E27EB"/>
    <w:rsid w:val="006E65F2"/>
    <w:rsid w:val="006E6709"/>
    <w:rsid w:val="00702AC8"/>
    <w:rsid w:val="0070626B"/>
    <w:rsid w:val="00714D48"/>
    <w:rsid w:val="0071617D"/>
    <w:rsid w:val="0072030E"/>
    <w:rsid w:val="00721394"/>
    <w:rsid w:val="00722C10"/>
    <w:rsid w:val="007245B7"/>
    <w:rsid w:val="00733261"/>
    <w:rsid w:val="007412A7"/>
    <w:rsid w:val="00741629"/>
    <w:rsid w:val="00751296"/>
    <w:rsid w:val="00766C28"/>
    <w:rsid w:val="00772E00"/>
    <w:rsid w:val="007800E3"/>
    <w:rsid w:val="00792BAC"/>
    <w:rsid w:val="007A5CCF"/>
    <w:rsid w:val="007A6474"/>
    <w:rsid w:val="007B1429"/>
    <w:rsid w:val="007B14BD"/>
    <w:rsid w:val="007C0916"/>
    <w:rsid w:val="007E63EF"/>
    <w:rsid w:val="007F11D0"/>
    <w:rsid w:val="007F4E15"/>
    <w:rsid w:val="00817429"/>
    <w:rsid w:val="00823154"/>
    <w:rsid w:val="00834758"/>
    <w:rsid w:val="008352A7"/>
    <w:rsid w:val="00840541"/>
    <w:rsid w:val="00844870"/>
    <w:rsid w:val="00856C65"/>
    <w:rsid w:val="00874E30"/>
    <w:rsid w:val="00875A67"/>
    <w:rsid w:val="00876D2F"/>
    <w:rsid w:val="0088000E"/>
    <w:rsid w:val="0088240B"/>
    <w:rsid w:val="00883298"/>
    <w:rsid w:val="008838D6"/>
    <w:rsid w:val="00885A51"/>
    <w:rsid w:val="008A2B35"/>
    <w:rsid w:val="008A3DBC"/>
    <w:rsid w:val="008A617A"/>
    <w:rsid w:val="008B46AE"/>
    <w:rsid w:val="008B5A73"/>
    <w:rsid w:val="008C24C0"/>
    <w:rsid w:val="008C3EC9"/>
    <w:rsid w:val="008D08D8"/>
    <w:rsid w:val="008D2C90"/>
    <w:rsid w:val="008D5367"/>
    <w:rsid w:val="008E0CEE"/>
    <w:rsid w:val="008E3B70"/>
    <w:rsid w:val="008E3F1E"/>
    <w:rsid w:val="008E4838"/>
    <w:rsid w:val="008E5A2A"/>
    <w:rsid w:val="008E6448"/>
    <w:rsid w:val="008E7BF7"/>
    <w:rsid w:val="008F1CF6"/>
    <w:rsid w:val="008F5C9E"/>
    <w:rsid w:val="00906C78"/>
    <w:rsid w:val="00907F80"/>
    <w:rsid w:val="00910BA8"/>
    <w:rsid w:val="009119B8"/>
    <w:rsid w:val="00915F9C"/>
    <w:rsid w:val="009167F1"/>
    <w:rsid w:val="00923282"/>
    <w:rsid w:val="00932762"/>
    <w:rsid w:val="009444F9"/>
    <w:rsid w:val="00950ED1"/>
    <w:rsid w:val="00972B18"/>
    <w:rsid w:val="00975E2D"/>
    <w:rsid w:val="00995438"/>
    <w:rsid w:val="009A2A00"/>
    <w:rsid w:val="009B2B20"/>
    <w:rsid w:val="009B516B"/>
    <w:rsid w:val="009B54BF"/>
    <w:rsid w:val="009B63B0"/>
    <w:rsid w:val="009C2912"/>
    <w:rsid w:val="009C48EC"/>
    <w:rsid w:val="009D3B4F"/>
    <w:rsid w:val="009D4D99"/>
    <w:rsid w:val="009D63E1"/>
    <w:rsid w:val="009E5876"/>
    <w:rsid w:val="009F1744"/>
    <w:rsid w:val="00A022C0"/>
    <w:rsid w:val="00A13D82"/>
    <w:rsid w:val="00A141B4"/>
    <w:rsid w:val="00A20DA3"/>
    <w:rsid w:val="00A22F61"/>
    <w:rsid w:val="00A23EC1"/>
    <w:rsid w:val="00A304F7"/>
    <w:rsid w:val="00A32454"/>
    <w:rsid w:val="00A3267E"/>
    <w:rsid w:val="00A34853"/>
    <w:rsid w:val="00A34F06"/>
    <w:rsid w:val="00A35738"/>
    <w:rsid w:val="00A36726"/>
    <w:rsid w:val="00A52935"/>
    <w:rsid w:val="00A53565"/>
    <w:rsid w:val="00A54239"/>
    <w:rsid w:val="00A657A8"/>
    <w:rsid w:val="00A66210"/>
    <w:rsid w:val="00A727F3"/>
    <w:rsid w:val="00A77504"/>
    <w:rsid w:val="00A84F32"/>
    <w:rsid w:val="00A92B67"/>
    <w:rsid w:val="00A96106"/>
    <w:rsid w:val="00AA1387"/>
    <w:rsid w:val="00AA5EC7"/>
    <w:rsid w:val="00AB1DB2"/>
    <w:rsid w:val="00AC0C1A"/>
    <w:rsid w:val="00AC1EC5"/>
    <w:rsid w:val="00AD3EEA"/>
    <w:rsid w:val="00AD51C6"/>
    <w:rsid w:val="00AF260D"/>
    <w:rsid w:val="00AF33FE"/>
    <w:rsid w:val="00AF6AD5"/>
    <w:rsid w:val="00AF6BBA"/>
    <w:rsid w:val="00B01D1D"/>
    <w:rsid w:val="00B11330"/>
    <w:rsid w:val="00B36289"/>
    <w:rsid w:val="00B364A8"/>
    <w:rsid w:val="00B3739A"/>
    <w:rsid w:val="00B62089"/>
    <w:rsid w:val="00B7131B"/>
    <w:rsid w:val="00B72BB9"/>
    <w:rsid w:val="00B85C37"/>
    <w:rsid w:val="00B86A7C"/>
    <w:rsid w:val="00B90E6E"/>
    <w:rsid w:val="00B91011"/>
    <w:rsid w:val="00B94F8A"/>
    <w:rsid w:val="00B951FA"/>
    <w:rsid w:val="00BA0C76"/>
    <w:rsid w:val="00BA1F8F"/>
    <w:rsid w:val="00BA5F08"/>
    <w:rsid w:val="00BB7011"/>
    <w:rsid w:val="00BD70D7"/>
    <w:rsid w:val="00BE521C"/>
    <w:rsid w:val="00BF5F23"/>
    <w:rsid w:val="00BF7AB0"/>
    <w:rsid w:val="00C01E05"/>
    <w:rsid w:val="00C13CF6"/>
    <w:rsid w:val="00C319A0"/>
    <w:rsid w:val="00C33BA6"/>
    <w:rsid w:val="00C4318B"/>
    <w:rsid w:val="00C471A2"/>
    <w:rsid w:val="00C563B4"/>
    <w:rsid w:val="00C60B83"/>
    <w:rsid w:val="00C65843"/>
    <w:rsid w:val="00C6655E"/>
    <w:rsid w:val="00C67082"/>
    <w:rsid w:val="00C717BA"/>
    <w:rsid w:val="00C76F22"/>
    <w:rsid w:val="00C7738E"/>
    <w:rsid w:val="00C779F6"/>
    <w:rsid w:val="00C80D1D"/>
    <w:rsid w:val="00C82D68"/>
    <w:rsid w:val="00C96F52"/>
    <w:rsid w:val="00CA033A"/>
    <w:rsid w:val="00CA05C7"/>
    <w:rsid w:val="00CA614B"/>
    <w:rsid w:val="00CB3668"/>
    <w:rsid w:val="00CB6920"/>
    <w:rsid w:val="00CC7BFC"/>
    <w:rsid w:val="00CD2B75"/>
    <w:rsid w:val="00CD3C7B"/>
    <w:rsid w:val="00CD4138"/>
    <w:rsid w:val="00CF28E8"/>
    <w:rsid w:val="00D04A05"/>
    <w:rsid w:val="00D15A00"/>
    <w:rsid w:val="00D219BB"/>
    <w:rsid w:val="00D2242A"/>
    <w:rsid w:val="00D23CA0"/>
    <w:rsid w:val="00D243B2"/>
    <w:rsid w:val="00D311ED"/>
    <w:rsid w:val="00D34C52"/>
    <w:rsid w:val="00D36335"/>
    <w:rsid w:val="00D40BB0"/>
    <w:rsid w:val="00D459FB"/>
    <w:rsid w:val="00D51543"/>
    <w:rsid w:val="00D53359"/>
    <w:rsid w:val="00D6727D"/>
    <w:rsid w:val="00D746D9"/>
    <w:rsid w:val="00D7479E"/>
    <w:rsid w:val="00D75D5D"/>
    <w:rsid w:val="00D8348B"/>
    <w:rsid w:val="00DA3D0A"/>
    <w:rsid w:val="00DA4046"/>
    <w:rsid w:val="00DB48FC"/>
    <w:rsid w:val="00DC06AC"/>
    <w:rsid w:val="00DC2058"/>
    <w:rsid w:val="00DC6A16"/>
    <w:rsid w:val="00DC7BED"/>
    <w:rsid w:val="00DD0515"/>
    <w:rsid w:val="00DD28DF"/>
    <w:rsid w:val="00DD4DBA"/>
    <w:rsid w:val="00DD67C8"/>
    <w:rsid w:val="00DE3CC2"/>
    <w:rsid w:val="00DE5C6B"/>
    <w:rsid w:val="00DE7765"/>
    <w:rsid w:val="00DF0B7F"/>
    <w:rsid w:val="00DF6BBF"/>
    <w:rsid w:val="00E03C2A"/>
    <w:rsid w:val="00E12552"/>
    <w:rsid w:val="00E17468"/>
    <w:rsid w:val="00E303EC"/>
    <w:rsid w:val="00E50346"/>
    <w:rsid w:val="00E56A75"/>
    <w:rsid w:val="00E665EA"/>
    <w:rsid w:val="00E76EE7"/>
    <w:rsid w:val="00E85772"/>
    <w:rsid w:val="00E91311"/>
    <w:rsid w:val="00E95AD0"/>
    <w:rsid w:val="00E967DD"/>
    <w:rsid w:val="00EA591F"/>
    <w:rsid w:val="00EB259D"/>
    <w:rsid w:val="00EB4A75"/>
    <w:rsid w:val="00EB513F"/>
    <w:rsid w:val="00EC49C3"/>
    <w:rsid w:val="00EC7944"/>
    <w:rsid w:val="00ED0192"/>
    <w:rsid w:val="00EE12FF"/>
    <w:rsid w:val="00EE1CE0"/>
    <w:rsid w:val="00EE1E74"/>
    <w:rsid w:val="00EE28BD"/>
    <w:rsid w:val="00EE48F1"/>
    <w:rsid w:val="00EF5A75"/>
    <w:rsid w:val="00F00D60"/>
    <w:rsid w:val="00F021CF"/>
    <w:rsid w:val="00F04E60"/>
    <w:rsid w:val="00F1075A"/>
    <w:rsid w:val="00F15E30"/>
    <w:rsid w:val="00F21831"/>
    <w:rsid w:val="00F2667B"/>
    <w:rsid w:val="00F275D0"/>
    <w:rsid w:val="00F35390"/>
    <w:rsid w:val="00F37314"/>
    <w:rsid w:val="00F40339"/>
    <w:rsid w:val="00F4739E"/>
    <w:rsid w:val="00F47F20"/>
    <w:rsid w:val="00F5384D"/>
    <w:rsid w:val="00F62A7C"/>
    <w:rsid w:val="00F64CCF"/>
    <w:rsid w:val="00F708E3"/>
    <w:rsid w:val="00F729C0"/>
    <w:rsid w:val="00F74C92"/>
    <w:rsid w:val="00F757DE"/>
    <w:rsid w:val="00F76B6D"/>
    <w:rsid w:val="00F86C3D"/>
    <w:rsid w:val="00FA4C38"/>
    <w:rsid w:val="00FB10A2"/>
    <w:rsid w:val="00FC507F"/>
    <w:rsid w:val="00FD08F8"/>
    <w:rsid w:val="00FD1A39"/>
    <w:rsid w:val="00FD2EAA"/>
    <w:rsid w:val="00FD5172"/>
    <w:rsid w:val="00FD5CE6"/>
    <w:rsid w:val="00FE4A7C"/>
    <w:rsid w:val="00FE604E"/>
    <w:rsid w:val="01803566"/>
    <w:rsid w:val="02A8425B"/>
    <w:rsid w:val="02ED6112"/>
    <w:rsid w:val="03161C47"/>
    <w:rsid w:val="0331626B"/>
    <w:rsid w:val="033B277A"/>
    <w:rsid w:val="038C0E93"/>
    <w:rsid w:val="040C48A0"/>
    <w:rsid w:val="04145942"/>
    <w:rsid w:val="04496B78"/>
    <w:rsid w:val="044E0731"/>
    <w:rsid w:val="0478307B"/>
    <w:rsid w:val="047E2218"/>
    <w:rsid w:val="050C7CDB"/>
    <w:rsid w:val="05212D9F"/>
    <w:rsid w:val="053B45ED"/>
    <w:rsid w:val="05865F1C"/>
    <w:rsid w:val="061E7FDF"/>
    <w:rsid w:val="066F37FF"/>
    <w:rsid w:val="06BF0204"/>
    <w:rsid w:val="06D219A6"/>
    <w:rsid w:val="06EF4125"/>
    <w:rsid w:val="07020297"/>
    <w:rsid w:val="07281A58"/>
    <w:rsid w:val="07DB062D"/>
    <w:rsid w:val="07E91F72"/>
    <w:rsid w:val="080C2B8A"/>
    <w:rsid w:val="08776830"/>
    <w:rsid w:val="098566CA"/>
    <w:rsid w:val="09A0789A"/>
    <w:rsid w:val="09D201F9"/>
    <w:rsid w:val="0A38446D"/>
    <w:rsid w:val="0A5461D3"/>
    <w:rsid w:val="0AC16A16"/>
    <w:rsid w:val="0B977083"/>
    <w:rsid w:val="0C330EAB"/>
    <w:rsid w:val="0CF550D2"/>
    <w:rsid w:val="0D6F723D"/>
    <w:rsid w:val="0D9D4704"/>
    <w:rsid w:val="0DA069C1"/>
    <w:rsid w:val="0DAF77A1"/>
    <w:rsid w:val="0DB24040"/>
    <w:rsid w:val="0DBE31A2"/>
    <w:rsid w:val="0E912FDF"/>
    <w:rsid w:val="0F591222"/>
    <w:rsid w:val="0F9A2094"/>
    <w:rsid w:val="0FA4346B"/>
    <w:rsid w:val="0FB26D46"/>
    <w:rsid w:val="10293D8B"/>
    <w:rsid w:val="10D9267D"/>
    <w:rsid w:val="10E77EB0"/>
    <w:rsid w:val="11397997"/>
    <w:rsid w:val="11D70154"/>
    <w:rsid w:val="12501E3A"/>
    <w:rsid w:val="12895AC2"/>
    <w:rsid w:val="12F82323"/>
    <w:rsid w:val="12FC5752"/>
    <w:rsid w:val="13217EB9"/>
    <w:rsid w:val="13261333"/>
    <w:rsid w:val="137B2135"/>
    <w:rsid w:val="13AF145E"/>
    <w:rsid w:val="13B83FD0"/>
    <w:rsid w:val="14055906"/>
    <w:rsid w:val="14415FB5"/>
    <w:rsid w:val="162E11AB"/>
    <w:rsid w:val="1648414B"/>
    <w:rsid w:val="16D60146"/>
    <w:rsid w:val="16F1497B"/>
    <w:rsid w:val="17167A77"/>
    <w:rsid w:val="173C3D03"/>
    <w:rsid w:val="17426C14"/>
    <w:rsid w:val="17792890"/>
    <w:rsid w:val="179B27D6"/>
    <w:rsid w:val="17DB7673"/>
    <w:rsid w:val="1807506C"/>
    <w:rsid w:val="18667581"/>
    <w:rsid w:val="18B72DCB"/>
    <w:rsid w:val="18BF2723"/>
    <w:rsid w:val="18C54015"/>
    <w:rsid w:val="19145117"/>
    <w:rsid w:val="19344E2A"/>
    <w:rsid w:val="1980497E"/>
    <w:rsid w:val="1A622E24"/>
    <w:rsid w:val="1A9B5929"/>
    <w:rsid w:val="1B070DB4"/>
    <w:rsid w:val="1B0A58A3"/>
    <w:rsid w:val="1B2D1054"/>
    <w:rsid w:val="1B6A5913"/>
    <w:rsid w:val="1BDB6B64"/>
    <w:rsid w:val="1C2269D4"/>
    <w:rsid w:val="1C502501"/>
    <w:rsid w:val="1CAF0425"/>
    <w:rsid w:val="1CEC62DD"/>
    <w:rsid w:val="1DC27636"/>
    <w:rsid w:val="1E287D13"/>
    <w:rsid w:val="1EB546EF"/>
    <w:rsid w:val="1EBC4A77"/>
    <w:rsid w:val="1EBE5D82"/>
    <w:rsid w:val="1EFD54D7"/>
    <w:rsid w:val="1F177D41"/>
    <w:rsid w:val="1F1F5A3A"/>
    <w:rsid w:val="202E2F46"/>
    <w:rsid w:val="205347ED"/>
    <w:rsid w:val="211113FF"/>
    <w:rsid w:val="21132F21"/>
    <w:rsid w:val="21646E2C"/>
    <w:rsid w:val="220C3228"/>
    <w:rsid w:val="223473A6"/>
    <w:rsid w:val="23117776"/>
    <w:rsid w:val="23471ABE"/>
    <w:rsid w:val="237F295E"/>
    <w:rsid w:val="2403533D"/>
    <w:rsid w:val="24676DBB"/>
    <w:rsid w:val="247445EC"/>
    <w:rsid w:val="24B56F46"/>
    <w:rsid w:val="24C3265F"/>
    <w:rsid w:val="24F352A7"/>
    <w:rsid w:val="2557433B"/>
    <w:rsid w:val="256D154E"/>
    <w:rsid w:val="25980324"/>
    <w:rsid w:val="26750F06"/>
    <w:rsid w:val="268705C2"/>
    <w:rsid w:val="269B457D"/>
    <w:rsid w:val="27837765"/>
    <w:rsid w:val="282E25DA"/>
    <w:rsid w:val="285E0698"/>
    <w:rsid w:val="287535EE"/>
    <w:rsid w:val="297C648A"/>
    <w:rsid w:val="29D24DD3"/>
    <w:rsid w:val="29FF0B32"/>
    <w:rsid w:val="2A1E6CAC"/>
    <w:rsid w:val="2A5C52D3"/>
    <w:rsid w:val="2AC165BE"/>
    <w:rsid w:val="2AF0786B"/>
    <w:rsid w:val="2AFE2FC5"/>
    <w:rsid w:val="2B070737"/>
    <w:rsid w:val="2B703685"/>
    <w:rsid w:val="2C5117A0"/>
    <w:rsid w:val="2C8C7F23"/>
    <w:rsid w:val="2CA03D30"/>
    <w:rsid w:val="2CA8579C"/>
    <w:rsid w:val="2CC557A9"/>
    <w:rsid w:val="2DA40A16"/>
    <w:rsid w:val="2DD01661"/>
    <w:rsid w:val="2E3468C1"/>
    <w:rsid w:val="2E393DBC"/>
    <w:rsid w:val="2E876B6B"/>
    <w:rsid w:val="2EAB40B1"/>
    <w:rsid w:val="2EBA2DB3"/>
    <w:rsid w:val="2F587960"/>
    <w:rsid w:val="2F8B5FD9"/>
    <w:rsid w:val="30153E24"/>
    <w:rsid w:val="32547DE2"/>
    <w:rsid w:val="32903EFC"/>
    <w:rsid w:val="32C232EC"/>
    <w:rsid w:val="32D2079E"/>
    <w:rsid w:val="335B00E4"/>
    <w:rsid w:val="336907DA"/>
    <w:rsid w:val="336D789F"/>
    <w:rsid w:val="33E612DA"/>
    <w:rsid w:val="34774F18"/>
    <w:rsid w:val="34B52513"/>
    <w:rsid w:val="34D26F56"/>
    <w:rsid w:val="34DB3F45"/>
    <w:rsid w:val="34E3526A"/>
    <w:rsid w:val="35206E31"/>
    <w:rsid w:val="353809BC"/>
    <w:rsid w:val="3539522F"/>
    <w:rsid w:val="357340DD"/>
    <w:rsid w:val="36225A9A"/>
    <w:rsid w:val="362D5215"/>
    <w:rsid w:val="36A638F7"/>
    <w:rsid w:val="36FB48B7"/>
    <w:rsid w:val="370D029A"/>
    <w:rsid w:val="378D516D"/>
    <w:rsid w:val="38390F4C"/>
    <w:rsid w:val="385B50A6"/>
    <w:rsid w:val="38853E0D"/>
    <w:rsid w:val="38D02AAB"/>
    <w:rsid w:val="39127424"/>
    <w:rsid w:val="39263835"/>
    <w:rsid w:val="39C9678C"/>
    <w:rsid w:val="39E160CA"/>
    <w:rsid w:val="3A3F5000"/>
    <w:rsid w:val="3A914ACC"/>
    <w:rsid w:val="3AB910C3"/>
    <w:rsid w:val="3B2F3A5F"/>
    <w:rsid w:val="3B831D1D"/>
    <w:rsid w:val="3BC75FB3"/>
    <w:rsid w:val="3C926145"/>
    <w:rsid w:val="3CB01C43"/>
    <w:rsid w:val="3D117DA7"/>
    <w:rsid w:val="3D7D0874"/>
    <w:rsid w:val="3D902D0C"/>
    <w:rsid w:val="3DB34167"/>
    <w:rsid w:val="3DE64F93"/>
    <w:rsid w:val="3DF8538F"/>
    <w:rsid w:val="3DFA733B"/>
    <w:rsid w:val="3E075473"/>
    <w:rsid w:val="3E387586"/>
    <w:rsid w:val="3E464B9F"/>
    <w:rsid w:val="3E5355D6"/>
    <w:rsid w:val="3EAE0FB0"/>
    <w:rsid w:val="3EC669F0"/>
    <w:rsid w:val="3F7B5C94"/>
    <w:rsid w:val="3FBB6E8D"/>
    <w:rsid w:val="401E6629"/>
    <w:rsid w:val="403A5ADC"/>
    <w:rsid w:val="404D6C6B"/>
    <w:rsid w:val="407D7710"/>
    <w:rsid w:val="409F1E6B"/>
    <w:rsid w:val="410812D6"/>
    <w:rsid w:val="41775CF7"/>
    <w:rsid w:val="419A5246"/>
    <w:rsid w:val="41BC3074"/>
    <w:rsid w:val="42F33E61"/>
    <w:rsid w:val="42F4161F"/>
    <w:rsid w:val="432B0F9F"/>
    <w:rsid w:val="43956513"/>
    <w:rsid w:val="43D44174"/>
    <w:rsid w:val="43EC04CE"/>
    <w:rsid w:val="44166751"/>
    <w:rsid w:val="44CD4FD3"/>
    <w:rsid w:val="452C5AC9"/>
    <w:rsid w:val="4544073F"/>
    <w:rsid w:val="458B364A"/>
    <w:rsid w:val="45D32F9B"/>
    <w:rsid w:val="45E8087D"/>
    <w:rsid w:val="4654657C"/>
    <w:rsid w:val="46572546"/>
    <w:rsid w:val="46F76F88"/>
    <w:rsid w:val="47AA3653"/>
    <w:rsid w:val="47B00899"/>
    <w:rsid w:val="47E10C42"/>
    <w:rsid w:val="480B71AB"/>
    <w:rsid w:val="48683357"/>
    <w:rsid w:val="489527CF"/>
    <w:rsid w:val="49663277"/>
    <w:rsid w:val="497B4E69"/>
    <w:rsid w:val="49D31CA6"/>
    <w:rsid w:val="4BD34E04"/>
    <w:rsid w:val="4BF95633"/>
    <w:rsid w:val="4D13532C"/>
    <w:rsid w:val="4D3B4816"/>
    <w:rsid w:val="4D86222C"/>
    <w:rsid w:val="4D944496"/>
    <w:rsid w:val="4E1D6438"/>
    <w:rsid w:val="4EB614A3"/>
    <w:rsid w:val="4F24714A"/>
    <w:rsid w:val="4F3C7EB7"/>
    <w:rsid w:val="4F4E21FC"/>
    <w:rsid w:val="4F7A03BA"/>
    <w:rsid w:val="4FE23EFF"/>
    <w:rsid w:val="500254BF"/>
    <w:rsid w:val="507C58BF"/>
    <w:rsid w:val="50837581"/>
    <w:rsid w:val="509D60B2"/>
    <w:rsid w:val="51835D2A"/>
    <w:rsid w:val="51863F06"/>
    <w:rsid w:val="51CC3F86"/>
    <w:rsid w:val="51E475A2"/>
    <w:rsid w:val="526D414C"/>
    <w:rsid w:val="5298404D"/>
    <w:rsid w:val="52D65746"/>
    <w:rsid w:val="53211D65"/>
    <w:rsid w:val="53256D5F"/>
    <w:rsid w:val="533E6392"/>
    <w:rsid w:val="53477063"/>
    <w:rsid w:val="53B2668A"/>
    <w:rsid w:val="53B86BA9"/>
    <w:rsid w:val="53DF3D9B"/>
    <w:rsid w:val="546569FA"/>
    <w:rsid w:val="54657D40"/>
    <w:rsid w:val="549D6CE0"/>
    <w:rsid w:val="550929A0"/>
    <w:rsid w:val="554A70A4"/>
    <w:rsid w:val="55524926"/>
    <w:rsid w:val="556A4A8A"/>
    <w:rsid w:val="564A1604"/>
    <w:rsid w:val="569B47F7"/>
    <w:rsid w:val="572F371E"/>
    <w:rsid w:val="57BB19C3"/>
    <w:rsid w:val="57C6564D"/>
    <w:rsid w:val="582F383A"/>
    <w:rsid w:val="58A96866"/>
    <w:rsid w:val="58DC7C0F"/>
    <w:rsid w:val="58E24783"/>
    <w:rsid w:val="5A1206F7"/>
    <w:rsid w:val="5A875B0B"/>
    <w:rsid w:val="5A982327"/>
    <w:rsid w:val="5AD64EC1"/>
    <w:rsid w:val="5B0552D0"/>
    <w:rsid w:val="5BC8791B"/>
    <w:rsid w:val="5C571B18"/>
    <w:rsid w:val="5C723704"/>
    <w:rsid w:val="5C8153DE"/>
    <w:rsid w:val="5C837BCA"/>
    <w:rsid w:val="5DF24210"/>
    <w:rsid w:val="5E0852E0"/>
    <w:rsid w:val="5EC33FD3"/>
    <w:rsid w:val="5F2F5C75"/>
    <w:rsid w:val="60056797"/>
    <w:rsid w:val="609904F8"/>
    <w:rsid w:val="60C80A3E"/>
    <w:rsid w:val="6127464E"/>
    <w:rsid w:val="61360B14"/>
    <w:rsid w:val="6141337E"/>
    <w:rsid w:val="61C41CBB"/>
    <w:rsid w:val="61E33D8D"/>
    <w:rsid w:val="62147D91"/>
    <w:rsid w:val="62C45332"/>
    <w:rsid w:val="62E30104"/>
    <w:rsid w:val="62E552C5"/>
    <w:rsid w:val="63B76F4B"/>
    <w:rsid w:val="64F81665"/>
    <w:rsid w:val="654434A2"/>
    <w:rsid w:val="65541134"/>
    <w:rsid w:val="657206B7"/>
    <w:rsid w:val="659F2FAC"/>
    <w:rsid w:val="6603051C"/>
    <w:rsid w:val="66466363"/>
    <w:rsid w:val="666902E5"/>
    <w:rsid w:val="66A2565B"/>
    <w:rsid w:val="6832184E"/>
    <w:rsid w:val="683A01CF"/>
    <w:rsid w:val="69E10370"/>
    <w:rsid w:val="6A6304CB"/>
    <w:rsid w:val="6AA544B4"/>
    <w:rsid w:val="6B0424E4"/>
    <w:rsid w:val="6B2A2C74"/>
    <w:rsid w:val="6B5B2F9B"/>
    <w:rsid w:val="6BB440BE"/>
    <w:rsid w:val="6C0575F6"/>
    <w:rsid w:val="6C3757FD"/>
    <w:rsid w:val="6C7B6AA9"/>
    <w:rsid w:val="6C996006"/>
    <w:rsid w:val="6CEC563A"/>
    <w:rsid w:val="6DA04F6F"/>
    <w:rsid w:val="6DD54A13"/>
    <w:rsid w:val="6E2D430E"/>
    <w:rsid w:val="6E422212"/>
    <w:rsid w:val="6EE20046"/>
    <w:rsid w:val="6EF06E3C"/>
    <w:rsid w:val="6F3D238D"/>
    <w:rsid w:val="70711D52"/>
    <w:rsid w:val="70785256"/>
    <w:rsid w:val="71326FD7"/>
    <w:rsid w:val="719B1CDE"/>
    <w:rsid w:val="71BF76F7"/>
    <w:rsid w:val="71C77EE0"/>
    <w:rsid w:val="72005D6E"/>
    <w:rsid w:val="724977E8"/>
    <w:rsid w:val="72E40B77"/>
    <w:rsid w:val="730D09BA"/>
    <w:rsid w:val="73922CC8"/>
    <w:rsid w:val="73AC53EB"/>
    <w:rsid w:val="73FA22E2"/>
    <w:rsid w:val="741872F3"/>
    <w:rsid w:val="741D11B7"/>
    <w:rsid w:val="74964D18"/>
    <w:rsid w:val="749F2837"/>
    <w:rsid w:val="74BF0E77"/>
    <w:rsid w:val="75322481"/>
    <w:rsid w:val="755F0B01"/>
    <w:rsid w:val="75C2385C"/>
    <w:rsid w:val="77874413"/>
    <w:rsid w:val="77E07543"/>
    <w:rsid w:val="78106066"/>
    <w:rsid w:val="78885BE5"/>
    <w:rsid w:val="790C41A8"/>
    <w:rsid w:val="793F0308"/>
    <w:rsid w:val="79953A97"/>
    <w:rsid w:val="799E1006"/>
    <w:rsid w:val="7A7754CE"/>
    <w:rsid w:val="7A9D3941"/>
    <w:rsid w:val="7B9618A7"/>
    <w:rsid w:val="7C4D37F5"/>
    <w:rsid w:val="7D1D0840"/>
    <w:rsid w:val="7D5D4624"/>
    <w:rsid w:val="7DAE5977"/>
    <w:rsid w:val="7E001F51"/>
    <w:rsid w:val="7E203E5E"/>
    <w:rsid w:val="7EF20859"/>
    <w:rsid w:val="7EF23194"/>
    <w:rsid w:val="7F2C73E8"/>
    <w:rsid w:val="7FA778A0"/>
    <w:rsid w:val="7FBC4C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360" w:after="200"/>
      <w:outlineLvl w:val="1"/>
    </w:pPr>
    <w:rPr>
      <w:rFonts w:ascii="Arial" w:hAnsi="Arial" w:eastAsia="Arial" w:cs="Arial"/>
      <w:sz w:val="3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1" w:firstLine="557" w:firstLineChars="199"/>
    </w:pPr>
    <w:rPr>
      <w:rFonts w:eastAsia="仿宋_GB2312"/>
      <w:sz w:val="28"/>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style>
  <w:style w:type="character" w:styleId="12">
    <w:name w:val="Hyperlink"/>
    <w:qFormat/>
    <w:uiPriority w:val="0"/>
    <w:rPr>
      <w:color w:val="0000FF"/>
      <w:u w:val="single"/>
    </w:rPr>
  </w:style>
  <w:style w:type="paragraph" w:customStyle="1" w:styleId="13">
    <w:name w:val="默认段落字体 Para Char Char Char Char Char Char Char"/>
    <w:basedOn w:val="1"/>
    <w:qFormat/>
    <w:uiPriority w:val="0"/>
  </w:style>
  <w:style w:type="paragraph" w:customStyle="1" w:styleId="14">
    <w:name w:val="Char"/>
    <w:basedOn w:val="1"/>
    <w:qFormat/>
    <w:uiPriority w:val="0"/>
    <w:pPr>
      <w:numPr>
        <w:ilvl w:val="0"/>
        <w:numId w:val="1"/>
      </w:numPr>
    </w:pPr>
    <w:rPr>
      <w:sz w:val="24"/>
    </w:rPr>
  </w:style>
  <w:style w:type="paragraph" w:customStyle="1" w:styleId="15">
    <w:name w:val=" Char3"/>
    <w:basedOn w:val="1"/>
    <w:qFormat/>
    <w:uiPriority w:val="0"/>
    <w:pPr>
      <w:numPr>
        <w:ilvl w:val="0"/>
        <w:numId w:val="2"/>
      </w:numPr>
      <w:spacing w:line="360" w:lineRule="auto"/>
      <w:ind w:firstLineChars="200"/>
      <w:jc w:val="center"/>
    </w:pPr>
    <w:rPr>
      <w:rFonts w:ascii="黑体"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798</Words>
  <Characters>4550</Characters>
  <Lines>37</Lines>
  <Paragraphs>10</Paragraphs>
  <TotalTime>94</TotalTime>
  <ScaleCrop>false</ScaleCrop>
  <LinksUpToDate>false</LinksUpToDate>
  <CharactersWithSpaces>5338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2024-04-18T09:21:00Z</dcterms:created>
  <dc:creator>User</dc:creator>
  <cp:lastModifiedBy>张无忌</cp:lastModifiedBy>
  <cp:lastPrinted>2024-04-29T12:50:51Z</cp:lastPrinted>
  <dcterms:modified xsi:type="dcterms:W3CDTF">2024-04-29T13:14:38Z</dcterms:modified>
  <dc:title>2015年花都区城区小学报名指南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22EB3028C6444011841C8A40AF146791</vt:lpwstr>
  </property>
</Properties>
</file>