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1"/>
          <w:numId w:val="0"/>
        </w:numPr>
        <w:tabs>
          <w:tab w:val="left" w:pos="0"/>
        </w:tabs>
        <w:snapToGrid w:val="0"/>
        <w:spacing w:line="360" w:lineRule="auto"/>
        <w:rPr>
          <w:rFonts w:hint="eastAsia" w:ascii="仿宋_GB2312" w:hAnsi="仿宋_GB2312" w:eastAsia="仿宋_GB2312" w:cs="仿宋_GB2312"/>
          <w:bCs/>
          <w:color w:val="auto"/>
          <w:sz w:val="32"/>
          <w:szCs w:val="32"/>
          <w:highlight w:val="none"/>
          <w:lang w:val="en-US" w:eastAsia="zh-CN"/>
        </w:rPr>
      </w:pPr>
      <w:bookmarkStart w:id="0" w:name="_GoBack"/>
      <w:r>
        <w:rPr>
          <w:rFonts w:hint="eastAsia" w:ascii="仿宋_GB2312" w:hAnsi="仿宋_GB2312" w:eastAsia="仿宋_GB2312" w:cs="仿宋_GB2312"/>
          <w:bCs/>
          <w:color w:val="auto"/>
          <w:sz w:val="32"/>
          <w:szCs w:val="32"/>
          <w:highlight w:val="none"/>
          <w:lang w:eastAsia="zh-CN"/>
        </w:rPr>
        <w:t>附件</w:t>
      </w:r>
      <w:r>
        <w:rPr>
          <w:rFonts w:hint="eastAsia" w:ascii="仿宋_GB2312" w:hAnsi="仿宋_GB2312" w:eastAsia="仿宋_GB2312" w:cs="仿宋_GB2312"/>
          <w:bCs/>
          <w:color w:val="auto"/>
          <w:sz w:val="32"/>
          <w:szCs w:val="32"/>
          <w:highlight w:val="none"/>
          <w:lang w:val="en-US" w:eastAsia="zh-CN"/>
        </w:rPr>
        <w:t>2</w:t>
      </w:r>
    </w:p>
    <w:p>
      <w:pPr>
        <w:keepNext w:val="0"/>
        <w:keepLines w:val="0"/>
        <w:pageBreakBefore w:val="0"/>
        <w:widowControl w:val="0"/>
        <w:shd w:val="clear" w:color="auto" w:fill="FFFFFF"/>
        <w:tabs>
          <w:tab w:val="left" w:pos="0"/>
        </w:tabs>
        <w:snapToGrid w:val="0"/>
        <w:spacing w:line="560" w:lineRule="exact"/>
        <w:ind w:left="0" w:leftChars="0" w:firstLine="0" w:firstLineChars="0"/>
        <w:jc w:val="center"/>
        <w:rPr>
          <w:rFonts w:hint="eastAsia" w:ascii="方正小标宋简体" w:hAnsi="方正小标宋简体" w:eastAsia="方正小标宋简体" w:cs="方正小标宋简体"/>
          <w:bCs/>
          <w:color w:val="auto"/>
          <w:sz w:val="36"/>
          <w:szCs w:val="36"/>
          <w:highlight w:val="none"/>
          <w:lang w:val="en-US" w:eastAsia="zh-CN"/>
        </w:rPr>
      </w:pPr>
      <w:r>
        <w:rPr>
          <w:rFonts w:hint="eastAsia" w:ascii="方正小标宋简体" w:hAnsi="方正小标宋简体" w:eastAsia="方正小标宋简体" w:cs="方正小标宋简体"/>
          <w:bCs/>
          <w:color w:val="auto"/>
          <w:sz w:val="36"/>
          <w:szCs w:val="36"/>
          <w:highlight w:val="none"/>
          <w:lang w:val="en-US" w:eastAsia="zh-CN"/>
        </w:rPr>
        <w:t>2024年花都区积分制入学分值表</w:t>
      </w:r>
    </w:p>
    <w:bookmarkEnd w:id="0"/>
    <w:tbl>
      <w:tblPr>
        <w:tblStyle w:val="4"/>
        <w:tblW w:w="962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78"/>
        <w:gridCol w:w="468"/>
        <w:gridCol w:w="1346"/>
        <w:gridCol w:w="4387"/>
        <w:gridCol w:w="28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jc w:val="center"/>
        </w:trPr>
        <w:tc>
          <w:tcPr>
            <w:tcW w:w="57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0" w:firstLineChars="0"/>
              <w:jc w:val="center"/>
              <w:textAlignment w:val="auto"/>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类别</w:t>
            </w:r>
          </w:p>
        </w:tc>
        <w:tc>
          <w:tcPr>
            <w:tcW w:w="468"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0" w:firstLineChars="0"/>
              <w:jc w:val="center"/>
              <w:textAlignment w:val="auto"/>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序号</w:t>
            </w:r>
          </w:p>
        </w:tc>
        <w:tc>
          <w:tcPr>
            <w:tcW w:w="1346"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0" w:firstLineChars="0"/>
              <w:jc w:val="center"/>
              <w:textAlignment w:val="auto"/>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指标</w:t>
            </w:r>
          </w:p>
        </w:tc>
        <w:tc>
          <w:tcPr>
            <w:tcW w:w="4387"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0" w:firstLineChars="0"/>
              <w:jc w:val="center"/>
              <w:textAlignment w:val="auto"/>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指标内容及分值</w:t>
            </w:r>
          </w:p>
        </w:tc>
        <w:tc>
          <w:tcPr>
            <w:tcW w:w="2845" w:type="dxa"/>
            <w:tcBorders>
              <w:top w:val="single" w:color="auto" w:sz="8"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0" w:firstLineChars="0"/>
              <w:jc w:val="center"/>
              <w:textAlignment w:val="auto"/>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57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基础指标</w:t>
            </w:r>
          </w:p>
        </w:tc>
        <w:tc>
          <w:tcPr>
            <w:tcW w:w="46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1</w:t>
            </w:r>
          </w:p>
        </w:tc>
        <w:tc>
          <w:tcPr>
            <w:tcW w:w="134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合法稳定住所</w:t>
            </w:r>
          </w:p>
        </w:tc>
        <w:tc>
          <w:tcPr>
            <w:tcW w:w="438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在广州市办理《广东省居住证》，每满1年计8分；</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在广州市累积居住年限：</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（1）合法产权住所（20分）；</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（2）合法租赁住所或单位宿舍，每满1年计5分，最高不超过20分。</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3</w:t>
            </w:r>
            <w:r>
              <w:rPr>
                <w:rFonts w:hint="default" w:ascii="Times New Roman" w:hAnsi="Times New Roman" w:eastAsia="仿宋_GB2312" w:cs="Times New Roman"/>
                <w:color w:val="auto"/>
                <w:sz w:val="18"/>
                <w:szCs w:val="18"/>
                <w:highlight w:val="none"/>
                <w:lang w:val="en-US" w:eastAsia="zh-CN"/>
              </w:rPr>
              <w:t xml:space="preserve">. </w:t>
            </w:r>
            <w:r>
              <w:rPr>
                <w:rFonts w:hint="default" w:ascii="Times New Roman" w:hAnsi="Times New Roman" w:eastAsia="仿宋_GB2312" w:cs="Times New Roman"/>
                <w:color w:val="auto"/>
                <w:sz w:val="18"/>
                <w:szCs w:val="18"/>
                <w:highlight w:val="none"/>
              </w:rPr>
              <w:t>申请人居住地由越秀区、海珠区、荔湾区、天河区转移到本市其他行政区的，每满1年计2分，最高不超过10分。</w:t>
            </w:r>
          </w:p>
        </w:tc>
        <w:tc>
          <w:tcPr>
            <w:tcW w:w="284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既有合法产权住房、又有合法租赁住房的，由申请人选择其中一项计分。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57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18"/>
                <w:szCs w:val="18"/>
                <w:highlight w:val="none"/>
              </w:rPr>
            </w:pPr>
          </w:p>
        </w:tc>
        <w:tc>
          <w:tcPr>
            <w:tcW w:w="46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2</w:t>
            </w:r>
          </w:p>
        </w:tc>
        <w:tc>
          <w:tcPr>
            <w:tcW w:w="134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合法稳定就业</w:t>
            </w:r>
          </w:p>
        </w:tc>
        <w:tc>
          <w:tcPr>
            <w:tcW w:w="438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在广州市就业（创业）并参加城镇基本养老保险、社会医疗保险（含职工社会医疗保险及城乡居民医疗保险）、失业保险、工伤保险、生育保险，每个险种每满1年计2分。在广州市就业（创业）并缴纳住房公积金，每满1年计2分。</w:t>
            </w:r>
          </w:p>
        </w:tc>
        <w:tc>
          <w:tcPr>
            <w:tcW w:w="284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失业保险基金代缴的职工社会医疗保险缴费年限及外来工医保年限纳入医保累计缴费时间。外地转入社保、补缴社保不计算年限，重复参保期间不重复计算年限。异地转入住房公积金、补缴住房公积金不计算年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67" w:hRule="atLeast"/>
          <w:jc w:val="center"/>
        </w:trPr>
        <w:tc>
          <w:tcPr>
            <w:tcW w:w="57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18"/>
                <w:szCs w:val="18"/>
                <w:highlight w:val="none"/>
              </w:rPr>
            </w:pPr>
          </w:p>
        </w:tc>
        <w:tc>
          <w:tcPr>
            <w:tcW w:w="46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3</w:t>
            </w:r>
          </w:p>
        </w:tc>
        <w:tc>
          <w:tcPr>
            <w:tcW w:w="134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年龄</w:t>
            </w:r>
          </w:p>
        </w:tc>
        <w:tc>
          <w:tcPr>
            <w:tcW w:w="438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18—40周岁（含40周岁）（30分）；</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2.40周岁以上的，每增加一岁（含不满一岁）少加2分</w:t>
            </w:r>
            <w:r>
              <w:rPr>
                <w:rFonts w:hint="default" w:ascii="Times New Roman" w:hAnsi="Times New Roman" w:eastAsia="仿宋_GB2312" w:cs="Times New Roman"/>
                <w:color w:val="auto"/>
                <w:sz w:val="18"/>
                <w:szCs w:val="18"/>
                <w:highlight w:val="none"/>
              </w:rPr>
              <w:t>。</w:t>
            </w:r>
          </w:p>
        </w:tc>
        <w:tc>
          <w:tcPr>
            <w:tcW w:w="284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动态调整，最低为0分。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2" w:hRule="atLeast"/>
          <w:jc w:val="center"/>
        </w:trPr>
        <w:tc>
          <w:tcPr>
            <w:tcW w:w="578" w:type="dxa"/>
            <w:vMerge w:val="restart"/>
            <w:tcBorders>
              <w:top w:val="nil"/>
              <w:left w:val="single" w:color="auto" w:sz="4"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eastAsia"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rPr>
              <w:t>加分</w:t>
            </w:r>
            <w:r>
              <w:rPr>
                <w:rFonts w:hint="eastAsia" w:ascii="Times New Roman" w:hAnsi="Times New Roman" w:eastAsia="仿宋_GB2312" w:cs="Times New Roman"/>
                <w:color w:val="auto"/>
                <w:sz w:val="18"/>
                <w:szCs w:val="18"/>
                <w:highlight w:val="none"/>
                <w:lang w:eastAsia="zh-CN"/>
              </w:rPr>
              <w:t>指标</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eastAsia="zh-CN"/>
              </w:rPr>
              <w:t>加分指标</w:t>
            </w:r>
          </w:p>
        </w:tc>
        <w:tc>
          <w:tcPr>
            <w:tcW w:w="468"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1</w:t>
            </w:r>
          </w:p>
        </w:tc>
        <w:tc>
          <w:tcPr>
            <w:tcW w:w="134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文化程度</w:t>
            </w:r>
          </w:p>
        </w:tc>
        <w:tc>
          <w:tcPr>
            <w:tcW w:w="4387"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本科及以上学历（30分）；</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专科（含高职）（20分）；</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w:t>
            </w:r>
            <w:r>
              <w:rPr>
                <w:rFonts w:hint="default" w:ascii="Times New Roman" w:hAnsi="Times New Roman" w:eastAsia="仿宋_GB2312" w:cs="Times New Roman"/>
                <w:color w:val="auto"/>
                <w:sz w:val="18"/>
                <w:szCs w:val="18"/>
                <w:highlight w:val="none"/>
              </w:rPr>
              <w:t>高中（含中职）（10分）。</w:t>
            </w:r>
          </w:p>
        </w:tc>
        <w:tc>
          <w:tcPr>
            <w:tcW w:w="2845"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只取最高分，不累计计分。高中以下学历不计分。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578" w:type="dxa"/>
            <w:vMerge w:val="continue"/>
            <w:tcBorders>
              <w:left w:val="single" w:color="auto" w:sz="4"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p>
        </w:tc>
        <w:tc>
          <w:tcPr>
            <w:tcW w:w="46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2</w:t>
            </w:r>
          </w:p>
        </w:tc>
        <w:tc>
          <w:tcPr>
            <w:tcW w:w="134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技术能力</w:t>
            </w:r>
          </w:p>
        </w:tc>
        <w:tc>
          <w:tcPr>
            <w:tcW w:w="438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中级及以上职称或技师及以上职业资格（20分）；</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初级职称、职业资格为高级、事业单位工勤技术三级（10分）；</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w:t>
            </w:r>
            <w:r>
              <w:rPr>
                <w:rFonts w:hint="default" w:ascii="Times New Roman" w:hAnsi="Times New Roman" w:eastAsia="仿宋_GB2312" w:cs="Times New Roman"/>
                <w:color w:val="auto"/>
                <w:sz w:val="18"/>
                <w:szCs w:val="18"/>
                <w:highlight w:val="none"/>
              </w:rPr>
              <w:t>职业资格中级、事业单位工勤技术四级（5分）；</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4.</w:t>
            </w:r>
            <w:r>
              <w:rPr>
                <w:rFonts w:hint="default" w:ascii="Times New Roman" w:hAnsi="Times New Roman" w:eastAsia="仿宋_GB2312" w:cs="Times New Roman"/>
                <w:color w:val="auto"/>
                <w:sz w:val="18"/>
                <w:szCs w:val="18"/>
                <w:highlight w:val="none"/>
              </w:rPr>
              <w:t>正在从事与上述专业技术资格证书、职业资格证书相对应职业工种工作（5分）。</w:t>
            </w:r>
          </w:p>
        </w:tc>
        <w:tc>
          <w:tcPr>
            <w:tcW w:w="28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职业资格包括职业技能等级，是指获得国家、广东省、广州市人力资源和社会保障部</w:t>
            </w:r>
            <w:r>
              <w:rPr>
                <w:rFonts w:hint="default" w:ascii="Times New Roman" w:hAnsi="Times New Roman" w:eastAsia="仿宋_GB2312" w:cs="Times New Roman"/>
                <w:b w:val="0"/>
                <w:bCs w:val="0"/>
                <w:color w:val="auto"/>
                <w:sz w:val="18"/>
                <w:szCs w:val="18"/>
                <w:highlight w:val="none"/>
              </w:rPr>
              <w:t>门</w:t>
            </w:r>
            <w:r>
              <w:rPr>
                <w:rFonts w:hint="eastAsia" w:ascii="Times New Roman" w:hAnsi="Times New Roman" w:eastAsia="仿宋_GB2312" w:cs="Times New Roman"/>
                <w:b w:val="0"/>
                <w:bCs w:val="0"/>
                <w:color w:val="auto"/>
                <w:sz w:val="18"/>
                <w:szCs w:val="18"/>
                <w:highlight w:val="none"/>
                <w:lang w:val="en-US" w:eastAsia="zh-CN"/>
              </w:rPr>
              <w:t>认可</w:t>
            </w:r>
            <w:r>
              <w:rPr>
                <w:rFonts w:hint="default" w:ascii="Times New Roman" w:hAnsi="Times New Roman" w:eastAsia="仿宋_GB2312" w:cs="Times New Roman"/>
                <w:b w:val="0"/>
                <w:bCs w:val="0"/>
                <w:color w:val="auto"/>
                <w:sz w:val="18"/>
                <w:szCs w:val="18"/>
                <w:highlight w:val="none"/>
              </w:rPr>
              <w:t>的</w:t>
            </w:r>
            <w:r>
              <w:rPr>
                <w:rFonts w:hint="default" w:ascii="Times New Roman" w:hAnsi="Times New Roman" w:eastAsia="仿宋_GB2312" w:cs="Times New Roman"/>
                <w:color w:val="auto"/>
                <w:sz w:val="18"/>
                <w:szCs w:val="18"/>
                <w:highlight w:val="none"/>
              </w:rPr>
              <w:t>国家职业资格。只取最高分，不累计计分。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70" w:hRule="atLeast"/>
          <w:jc w:val="center"/>
        </w:trPr>
        <w:tc>
          <w:tcPr>
            <w:tcW w:w="578" w:type="dxa"/>
            <w:vMerge w:val="continue"/>
            <w:tcBorders>
              <w:left w:val="single" w:color="auto" w:sz="4"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tc>
        <w:tc>
          <w:tcPr>
            <w:tcW w:w="468"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3</w:t>
            </w:r>
          </w:p>
        </w:tc>
        <w:tc>
          <w:tcPr>
            <w:tcW w:w="1346"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创新能力</w:t>
            </w:r>
          </w:p>
        </w:tc>
        <w:tc>
          <w:tcPr>
            <w:tcW w:w="4387"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近5年获得授权的有效专利且授权时的地址为广州市辖区的专利发明人或者设计人，按以下标准给予计分：</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360" w:firstLineChars="200"/>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属发明专利的，每项专利按20/（人数）计算。最高不超过40分。</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360" w:firstLineChars="200"/>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属实用新型专利的，每项专利按10/（人数）计算。最高不超过20分。</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在广州市高新技术企业、新型研发机构从事技术创新和研发的申请人，工作每满1年计2分，最高不超过10分。</w:t>
            </w:r>
          </w:p>
        </w:tc>
        <w:tc>
          <w:tcPr>
            <w:tcW w:w="2845" w:type="dxa"/>
            <w:tcBorders>
              <w:top w:val="single" w:color="auto" w:sz="4" w:space="0"/>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专利授权后，专利发明人或设计人发生变更的，不予积分；专利地址变更到非广州市辖区内的，不予积分。对同时满足1和2两项条件的，可以累计计分。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05" w:hRule="atLeast"/>
          <w:jc w:val="center"/>
        </w:trPr>
        <w:tc>
          <w:tcPr>
            <w:tcW w:w="578" w:type="dxa"/>
            <w:vMerge w:val="continue"/>
            <w:tcBorders>
              <w:left w:val="single" w:color="auto" w:sz="4"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18"/>
                <w:szCs w:val="18"/>
                <w:highlight w:val="none"/>
              </w:rPr>
            </w:pPr>
          </w:p>
        </w:tc>
        <w:tc>
          <w:tcPr>
            <w:tcW w:w="468"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4</w:t>
            </w:r>
          </w:p>
        </w:tc>
        <w:tc>
          <w:tcPr>
            <w:tcW w:w="1346"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急需工种或职业资格（职业技能等级）、服务行业</w:t>
            </w:r>
          </w:p>
        </w:tc>
        <w:tc>
          <w:tcPr>
            <w:tcW w:w="4387"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职业工种或职业资格符合当年广州市积分急需工种或职业资格目录（10分）；</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现正从事特殊艰苦行业一线人员（10分）。工作每满1年再加计5分，最高再加分不超过20分。</w:t>
            </w:r>
          </w:p>
        </w:tc>
        <w:tc>
          <w:tcPr>
            <w:tcW w:w="2845" w:type="dxa"/>
            <w:tcBorders>
              <w:top w:val="nil"/>
              <w:left w:val="nil"/>
              <w:bottom w:val="single" w:color="auto" w:sz="8"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360" w:firstLineChars="200"/>
              <w:jc w:val="both"/>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45" w:hRule="atLeast"/>
          <w:jc w:val="center"/>
        </w:trPr>
        <w:tc>
          <w:tcPr>
            <w:tcW w:w="578" w:type="dxa"/>
            <w:vMerge w:val="continue"/>
            <w:tcBorders>
              <w:left w:val="single" w:color="auto" w:sz="4"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18"/>
                <w:szCs w:val="18"/>
                <w:highlight w:val="none"/>
              </w:rPr>
            </w:pPr>
          </w:p>
        </w:tc>
        <w:tc>
          <w:tcPr>
            <w:tcW w:w="468"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5</w:t>
            </w:r>
          </w:p>
        </w:tc>
        <w:tc>
          <w:tcPr>
            <w:tcW w:w="1346"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社会服务和公益</w:t>
            </w:r>
          </w:p>
        </w:tc>
        <w:tc>
          <w:tcPr>
            <w:tcW w:w="4387"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近5年内，参加献血（每次计2分），单项累计最高不超过10分。</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近5年内，参加志愿者（义工）服务（每满50小时计2分）。1年内计分不超过2分，单项累计最高不超过10分。</w:t>
            </w:r>
          </w:p>
        </w:tc>
        <w:tc>
          <w:tcPr>
            <w:tcW w:w="2845" w:type="dxa"/>
            <w:tcBorders>
              <w:top w:val="nil"/>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360" w:firstLineChars="200"/>
              <w:jc w:val="both"/>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5" w:hRule="atLeast"/>
          <w:jc w:val="center"/>
        </w:trPr>
        <w:tc>
          <w:tcPr>
            <w:tcW w:w="578" w:type="dxa"/>
            <w:vMerge w:val="continue"/>
            <w:tcBorders>
              <w:left w:val="single" w:color="auto" w:sz="4"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18"/>
                <w:szCs w:val="18"/>
                <w:highlight w:val="none"/>
              </w:rPr>
            </w:pPr>
          </w:p>
        </w:tc>
        <w:tc>
          <w:tcPr>
            <w:tcW w:w="46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6</w:t>
            </w:r>
          </w:p>
        </w:tc>
        <w:tc>
          <w:tcPr>
            <w:tcW w:w="134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纳税情况</w:t>
            </w:r>
          </w:p>
        </w:tc>
        <w:tc>
          <w:tcPr>
            <w:tcW w:w="438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leftChars="0"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对普通劳动者，申报缴纳个人所得税：</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leftChars="0" w:right="0" w:rightChars="0"/>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（1）近3个纳税年度累计在广州市缴纳个人所得税：1</w:t>
            </w:r>
            <w:r>
              <w:rPr>
                <w:rFonts w:hint="default" w:ascii="Times New Roman" w:hAnsi="Times New Roman" w:eastAsia="仿宋_GB2312" w:cs="Times New Roman"/>
                <w:color w:val="auto"/>
                <w:sz w:val="18"/>
                <w:szCs w:val="18"/>
                <w:highlight w:val="none"/>
                <w:lang w:val="en-US" w:eastAsia="zh-CN"/>
              </w:rPr>
              <w:t>万</w:t>
            </w: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rPr>
              <w:t>3万元（含1万元，不含3万元）（4分）；3</w:t>
            </w:r>
            <w:r>
              <w:rPr>
                <w:rFonts w:hint="default" w:ascii="Times New Roman" w:hAnsi="Times New Roman" w:eastAsia="仿宋_GB2312" w:cs="Times New Roman"/>
                <w:color w:val="auto"/>
                <w:sz w:val="18"/>
                <w:szCs w:val="18"/>
                <w:highlight w:val="none"/>
                <w:lang w:val="en-US" w:eastAsia="zh-CN"/>
              </w:rPr>
              <w:t>万</w:t>
            </w: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rPr>
              <w:t>6万元（含3万元，不含6万元）（8分）；6万元以上（含6万元）（12分）。</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2</w:t>
            </w:r>
            <w:r>
              <w:rPr>
                <w:rFonts w:hint="eastAsia"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rPr>
              <w:t>近3个纳税年度连续每1年均在广州市申报缴纳综合所得（包括工资薪金所得、劳务报酬所得、稿酬所得，特许权使用费所得）或者经营所得的个人所得税（4分）。</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（3）近1个纳税年度按规定办理个人所得税年度汇算清缴申报（含清缴税款）（2分）。</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所投资创办的企业，近3个纳税年度累积在广州市纳税：</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（1）5</w:t>
            </w:r>
            <w:r>
              <w:rPr>
                <w:rFonts w:hint="default" w:ascii="Times New Roman" w:hAnsi="Times New Roman" w:eastAsia="仿宋_GB2312" w:cs="Times New Roman"/>
                <w:color w:val="auto"/>
                <w:sz w:val="18"/>
                <w:szCs w:val="18"/>
                <w:highlight w:val="none"/>
                <w:lang w:val="en-US" w:eastAsia="zh-CN"/>
              </w:rPr>
              <w:t>万</w:t>
            </w: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rPr>
              <w:t>10万元（含5万元，不含10万元）（4分）；</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（2）10</w:t>
            </w:r>
            <w:r>
              <w:rPr>
                <w:rFonts w:hint="default" w:ascii="Times New Roman" w:hAnsi="Times New Roman" w:eastAsia="仿宋_GB2312" w:cs="Times New Roman"/>
                <w:color w:val="auto"/>
                <w:sz w:val="18"/>
                <w:szCs w:val="18"/>
                <w:highlight w:val="none"/>
                <w:lang w:val="en-US" w:eastAsia="zh-CN"/>
              </w:rPr>
              <w:t>万</w:t>
            </w: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rPr>
              <w:t>20万元（含10万元，不含20万元）（8分）；</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（3）20万元以上（含20万元）（12分）。</w:t>
            </w:r>
          </w:p>
        </w:tc>
        <w:tc>
          <w:tcPr>
            <w:tcW w:w="28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一个纳税年度指当年的1月1日至12月31日。</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对同时满足1和2两项条件的，可以累计计分。</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360" w:firstLineChars="200"/>
              <w:jc w:val="both"/>
              <w:textAlignment w:val="auto"/>
              <w:rPr>
                <w:rFonts w:hint="default" w:ascii="Times New Roman" w:hAnsi="Times New Roman" w:eastAsia="仿宋_GB2312" w:cs="Times New Roman"/>
                <w:color w:val="auto"/>
                <w:sz w:val="18"/>
                <w:szCs w:val="1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578" w:type="dxa"/>
            <w:vMerge w:val="continue"/>
            <w:tcBorders>
              <w:left w:val="single" w:color="auto" w:sz="4"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eastAsia" w:ascii="Times New Roman" w:hAnsi="Times New Roman" w:eastAsia="仿宋_GB2312" w:cs="Times New Roman"/>
                <w:color w:val="auto"/>
                <w:sz w:val="18"/>
                <w:szCs w:val="18"/>
                <w:highlight w:val="none"/>
                <w:lang w:eastAsia="zh-CN"/>
              </w:rPr>
            </w:pPr>
          </w:p>
        </w:tc>
        <w:tc>
          <w:tcPr>
            <w:tcW w:w="468"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7</w:t>
            </w:r>
          </w:p>
        </w:tc>
        <w:tc>
          <w:tcPr>
            <w:tcW w:w="1346"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表彰奖项</w:t>
            </w:r>
          </w:p>
        </w:tc>
        <w:tc>
          <w:tcPr>
            <w:tcW w:w="4387"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个人获得党中央、国务院授予的奖项和荣誉称号（30分）；</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个人获得广东省委、省政府或中央和国家机关部委等授予的劳动模范或先进工作者等荣誉称号（20分）；</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w:t>
            </w:r>
            <w:r>
              <w:rPr>
                <w:rFonts w:hint="default" w:ascii="Times New Roman" w:hAnsi="Times New Roman" w:eastAsia="仿宋_GB2312" w:cs="Times New Roman"/>
                <w:color w:val="auto"/>
                <w:sz w:val="18"/>
                <w:szCs w:val="18"/>
                <w:highlight w:val="none"/>
              </w:rPr>
              <w:t>个人获得广州市委、市政府授予的奖项和荣誉称号（10分）；</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4.</w:t>
            </w:r>
            <w:r>
              <w:rPr>
                <w:rFonts w:hint="default" w:ascii="Times New Roman" w:hAnsi="Times New Roman" w:eastAsia="仿宋_GB2312" w:cs="Times New Roman"/>
                <w:color w:val="auto"/>
                <w:sz w:val="18"/>
                <w:szCs w:val="18"/>
                <w:highlight w:val="none"/>
              </w:rPr>
              <w:t>个人获得广州市直机关或各区委、区政府授予的奖项和荣誉称号（5分）。</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5.</w:t>
            </w:r>
            <w:r>
              <w:rPr>
                <w:rFonts w:hint="default" w:ascii="Times New Roman" w:hAnsi="Times New Roman" w:eastAsia="仿宋_GB2312" w:cs="Times New Roman"/>
                <w:color w:val="auto"/>
                <w:sz w:val="18"/>
                <w:szCs w:val="18"/>
                <w:highlight w:val="none"/>
              </w:rPr>
              <w:t>个人获得中央军委授予的荣誉称号（30分）。</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6.</w:t>
            </w:r>
            <w:r>
              <w:rPr>
                <w:rFonts w:hint="default" w:ascii="Times New Roman" w:hAnsi="Times New Roman" w:eastAsia="仿宋_GB2312" w:cs="Times New Roman"/>
                <w:color w:val="auto"/>
                <w:sz w:val="18"/>
                <w:szCs w:val="18"/>
                <w:highlight w:val="none"/>
              </w:rPr>
              <w:t>个人获得一等功（首次20分，累加每次5分）；获得二等功（首次10分，累加每次2分）；获得三等功（首次5分，累加每次1分）。</w:t>
            </w:r>
          </w:p>
        </w:tc>
        <w:tc>
          <w:tcPr>
            <w:tcW w:w="2845"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只计个人在广州市工作期间获得的奖项。</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同一奖项只取最高分，不同奖项可累计计分。</w:t>
            </w:r>
          </w:p>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w:t>
            </w:r>
            <w:r>
              <w:rPr>
                <w:rFonts w:hint="default" w:ascii="Times New Roman" w:hAnsi="Times New Roman" w:eastAsia="仿宋_GB2312" w:cs="Times New Roman"/>
                <w:color w:val="auto"/>
                <w:sz w:val="18"/>
                <w:szCs w:val="18"/>
                <w:highlight w:val="none"/>
              </w:rPr>
              <w:t>服役期间立功受奖情况（指标内容5</w:t>
            </w: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rPr>
              <w:t>6）不受上述限制。</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360" w:firstLineChars="200"/>
              <w:jc w:val="both"/>
              <w:textAlignment w:val="auto"/>
              <w:rPr>
                <w:rFonts w:hint="default" w:ascii="Times New Roman" w:hAnsi="Times New Roman" w:eastAsia="仿宋_GB2312" w:cs="Times New Roman"/>
                <w:color w:val="auto"/>
                <w:sz w:val="18"/>
                <w:szCs w:val="1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578" w:type="dxa"/>
            <w:vMerge w:val="continue"/>
            <w:tcBorders>
              <w:left w:val="single" w:color="auto" w:sz="4" w:space="0"/>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eastAsia" w:ascii="Times New Roman" w:hAnsi="Times New Roman" w:eastAsia="仿宋_GB2312" w:cs="Times New Roman"/>
                <w:color w:val="auto"/>
                <w:sz w:val="18"/>
                <w:szCs w:val="18"/>
                <w:highlight w:val="none"/>
                <w:lang w:eastAsia="zh-CN"/>
              </w:rPr>
            </w:pPr>
          </w:p>
        </w:tc>
        <w:tc>
          <w:tcPr>
            <w:tcW w:w="468"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8</w:t>
            </w:r>
          </w:p>
        </w:tc>
        <w:tc>
          <w:tcPr>
            <w:tcW w:w="1346"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花都区</w:t>
            </w:r>
            <w:r>
              <w:rPr>
                <w:rFonts w:hint="eastAsia" w:ascii="Times New Roman" w:hAnsi="Times New Roman" w:eastAsia="仿宋_GB2312" w:cs="Times New Roman"/>
                <w:color w:val="auto"/>
                <w:sz w:val="18"/>
                <w:szCs w:val="18"/>
                <w:highlight w:val="none"/>
                <w:lang w:eastAsia="zh-CN"/>
              </w:rPr>
              <w:t>加分指标</w:t>
            </w:r>
          </w:p>
        </w:tc>
        <w:tc>
          <w:tcPr>
            <w:tcW w:w="4387"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持</w:t>
            </w:r>
            <w:r>
              <w:rPr>
                <w:rFonts w:hint="eastAsia" w:ascii="Times New Roman" w:hAnsi="Times New Roman" w:eastAsia="仿宋_GB2312" w:cs="Times New Roman"/>
                <w:color w:val="auto"/>
                <w:sz w:val="18"/>
                <w:szCs w:val="18"/>
                <w:highlight w:val="none"/>
              </w:rPr>
              <w:t>花都区有效《广东省居住证》连续</w:t>
            </w:r>
            <w:r>
              <w:rPr>
                <w:rFonts w:hint="eastAsia" w:ascii="Times New Roman" w:hAnsi="Times New Roman" w:eastAsia="仿宋_GB2312" w:cs="Times New Roman"/>
                <w:color w:val="auto"/>
                <w:sz w:val="18"/>
                <w:szCs w:val="18"/>
                <w:highlight w:val="none"/>
                <w:lang w:val="en-US" w:eastAsia="zh-CN"/>
              </w:rPr>
              <w:t>每</w:t>
            </w:r>
            <w:r>
              <w:rPr>
                <w:rFonts w:hint="eastAsia" w:ascii="Times New Roman" w:hAnsi="Times New Roman" w:eastAsia="仿宋_GB2312" w:cs="Times New Roman"/>
                <w:color w:val="auto"/>
                <w:sz w:val="18"/>
                <w:szCs w:val="18"/>
                <w:highlight w:val="none"/>
              </w:rPr>
              <w:t>满一年</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计算时间截至2024年4月30日</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加10分，最多加30分。</w:t>
            </w:r>
          </w:p>
        </w:tc>
        <w:tc>
          <w:tcPr>
            <w:tcW w:w="2845" w:type="dxa"/>
            <w:tcBorders>
              <w:top w:val="single" w:color="auto" w:sz="4" w:space="0"/>
              <w:left w:val="nil"/>
              <w:bottom w:val="single" w:color="auto" w:sz="4" w:space="0"/>
              <w:right w:val="single" w:color="auto" w:sz="8" w:space="0"/>
            </w:tcBorders>
            <w:noWrap w:val="0"/>
            <w:tcMar>
              <w:left w:w="108" w:type="dxa"/>
              <w:right w:w="108"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360" w:firstLineChars="200"/>
              <w:jc w:val="both"/>
              <w:textAlignment w:val="auto"/>
              <w:rPr>
                <w:rFonts w:hint="default" w:ascii="Times New Roman" w:hAnsi="Times New Roman" w:eastAsia="仿宋_GB2312" w:cs="Times New Roman"/>
                <w:color w:val="auto"/>
                <w:sz w:val="18"/>
                <w:szCs w:val="18"/>
                <w:highlight w:val="none"/>
              </w:rPr>
            </w:pPr>
          </w:p>
        </w:tc>
      </w:tr>
    </w:tbl>
    <w:p>
      <w:pPr>
        <w:keepNext w:val="0"/>
        <w:keepLines w:val="0"/>
        <w:pageBreakBefore w:val="0"/>
        <w:widowControl w:val="0"/>
        <w:shd w:val="clear" w:color="auto" w:fill="FFFFFF"/>
        <w:tabs>
          <w:tab w:val="left" w:pos="0"/>
        </w:tabs>
        <w:snapToGrid w:val="0"/>
        <w:spacing w:line="560" w:lineRule="exact"/>
        <w:ind w:left="0" w:leftChars="0" w:firstLine="0" w:firstLineChars="0"/>
        <w:jc w:val="center"/>
        <w:rPr>
          <w:rFonts w:hint="eastAsia" w:ascii="方正小标宋简体" w:hAnsi="方正小标宋简体" w:eastAsia="方正小标宋简体" w:cs="方正小标宋简体"/>
          <w:bCs/>
          <w:color w:val="auto"/>
          <w:sz w:val="36"/>
          <w:szCs w:val="36"/>
          <w:highlight w:val="none"/>
          <w:lang w:val="en-US" w:eastAsia="zh-CN"/>
        </w:rPr>
        <w:sectPr>
          <w:pgSz w:w="11906" w:h="16838"/>
          <w:pgMar w:top="1587" w:right="1417" w:bottom="1587" w:left="1417" w:header="851" w:footer="992" w:gutter="0"/>
          <w:cols w:space="0"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3Y2QyOWVkNmYxNTIzODY4MzQ1ZTYzNWIwNTg2MjEifQ=="/>
  </w:docVars>
  <w:rsids>
    <w:rsidRoot w:val="046A2FB2"/>
    <w:rsid w:val="046A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both"/>
    </w:pPr>
    <w:rPr>
      <w:rFonts w:ascii="Times New Roman" w:hAnsi="Times New Roman" w:eastAsia="宋体" w:cs="Times New Roman"/>
      <w:color w:val="auto"/>
      <w:spacing w:val="0"/>
      <w:position w:val="0"/>
      <w:sz w:val="21"/>
      <w:szCs w:val="22"/>
      <w:lang w:val="en-US" w:eastAsia="zh-CN" w:bidi="ar-SA"/>
    </w:rPr>
  </w:style>
  <w:style w:type="paragraph" w:styleId="2">
    <w:name w:val="heading 2"/>
    <w:basedOn w:val="1"/>
    <w:next w:val="1"/>
    <w:unhideWhenUsed/>
    <w:qFormat/>
    <w:uiPriority w:val="9"/>
    <w:pPr>
      <w:keepNext/>
      <w:keepLines/>
      <w:spacing w:before="360" w:after="200"/>
      <w:outlineLvl w:val="1"/>
    </w:pPr>
    <w:rPr>
      <w:rFonts w:ascii="Arial" w:hAnsi="Arial" w:eastAsia="Arial" w:cs="Arial"/>
      <w:sz w:val="3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widowControl w:val="0"/>
      <w:spacing w:before="100" w:beforeAutospacing="1" w:after="100" w:afterAutospacing="1"/>
      <w:jc w:val="both"/>
    </w:pPr>
    <w:rPr>
      <w:rFonts w:ascii="Calibri" w:hAnsi="Calibri"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区委办公室</Company>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2024-04-01T03:23:00Z</dcterms:created>
  <dc:creator>赵凯</dc:creator>
  <cp:lastModifiedBy>赵凯</cp:lastModifiedBy>
  <dcterms:modified xsi:type="dcterms:W3CDTF">2024-04-01T03:24:12Z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584A9D63CA7943EBB37276B5B9782BFA_11</vt:lpwstr>
  </property>
</Properties>
</file>