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p>
    <w:p>
      <w:pPr>
        <w:pStyle w:val="2"/>
        <w:spacing w:before="0" w:after="0" w:line="400" w:lineRule="exact"/>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方正小标宋简体"/>
          <w:sz w:val="44"/>
          <w:szCs w:val="44"/>
          <w:lang w:val="en-US" w:eastAsia="zh-CN"/>
        </w:rPr>
        <w:t>关于广州市花都区</w:t>
      </w:r>
      <w:r>
        <w:rPr>
          <w:rFonts w:hint="eastAsia" w:ascii="Times New Roman" w:hAnsi="Times New Roman" w:eastAsia="方正小标宋简体" w:cs="Times New Roman"/>
          <w:sz w:val="44"/>
          <w:szCs w:val="44"/>
          <w:highlight w:val="none"/>
          <w:lang w:val="en-US" w:eastAsia="zh-CN"/>
        </w:rPr>
        <w:t>2023年度第十批次城镇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建设用地（广州市第五资源热力电厂垃圾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运输专用道路扩建及二期取水工程）</w:t>
      </w:r>
    </w:p>
    <w:p>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的</w:t>
      </w:r>
      <w:r>
        <w:rPr>
          <w:rFonts w:hint="eastAsia" w:ascii="方正小标宋简体" w:hAnsi="方正小标宋简体" w:eastAsia="方正小标宋简体" w:cs="方正小标宋简体"/>
          <w:sz w:val="44"/>
          <w:szCs w:val="44"/>
        </w:rPr>
        <w:t>征地补偿安置方案</w:t>
      </w:r>
    </w:p>
    <w:p>
      <w:pPr>
        <w:spacing w:before="7" w:line="240" w:lineRule="auto"/>
        <w:rPr>
          <w:rFonts w:ascii="Adobe 黑体 Std R" w:hAnsi="Adobe 黑体 Std R" w:eastAsia="Adobe 黑体 Std R" w:cs="Adobe 黑体 Std R"/>
          <w:sz w:val="34"/>
          <w:szCs w:val="34"/>
        </w:rPr>
      </w:pPr>
    </w:p>
    <w:p>
      <w:pPr>
        <w:pStyle w:val="3"/>
        <w:keepNext w:val="0"/>
        <w:keepLines w:val="0"/>
        <w:pageBreakBefore w:val="0"/>
        <w:widowControl w:val="0"/>
        <w:kinsoku/>
        <w:wordWrap w:val="0"/>
        <w:overflowPunct/>
        <w:topLinePunct w:val="0"/>
        <w:autoSpaceDE/>
        <w:autoSpaceDN/>
        <w:bidi w:val="0"/>
        <w:adjustRightInd/>
        <w:snapToGrid/>
        <w:spacing w:before="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赤坭镇</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27"/>
          <w:sz w:val="32"/>
          <w:szCs w:val="32"/>
          <w:lang w:val="en-US" w:eastAsia="zh-CN"/>
        </w:rPr>
        <w:t>赤坭镇白坭瓮缸窑经济合作社、白坭马安岗经济合作社（共有），蓝田新村经济合作社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仿宋_GB2312" w:hAnsi="仿宋_GB2312" w:eastAsia="仿宋_GB2312" w:cs="仿宋_GB2312"/>
          <w:sz w:val="32"/>
          <w:szCs w:val="32"/>
          <w:lang w:val="en-US" w:eastAsia="zh-CN"/>
        </w:rPr>
        <w:t>共</w:t>
      </w:r>
      <w:r>
        <w:rPr>
          <w:rFonts w:hint="eastAsia" w:ascii="Times New Roman" w:hAnsi="Times New Roman" w:eastAsia="仿宋_GB2312" w:cs="Times New Roman"/>
          <w:sz w:val="32"/>
          <w:szCs w:val="32"/>
          <w:lang w:val="en-US" w:eastAsia="zh-CN"/>
        </w:rPr>
        <w:t>2.7095</w:t>
      </w:r>
      <w:r>
        <w:rPr>
          <w:rFonts w:hint="default" w:ascii="Times New Roman" w:hAnsi="Times New Roman" w:eastAsia="仿宋_GB2312" w:cs="Times New Roman"/>
          <w:sz w:val="32"/>
          <w:szCs w:val="32"/>
        </w:rPr>
        <w:t>公顷</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赤坭镇白坭瓮缸窑经济合作社、白坭马安岗经济合作社（共有），蓝田新村经济合作社</w:t>
      </w:r>
      <w:r>
        <w:rPr>
          <w:rFonts w:hint="default" w:ascii="Times New Roman" w:hAnsi="Times New Roman" w:eastAsia="仿宋_GB2312" w:cs="Times New Roman"/>
          <w:sz w:val="32"/>
          <w:szCs w:val="32"/>
        </w:rPr>
        <w:t>范围内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具体位置详见附图</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由政府组织实施的能源、交通、水利、通信、邮政等基础设施建设需要用地</w:t>
      </w:r>
      <w:r>
        <w:rPr>
          <w:rFonts w:hint="default" w:ascii="Times New Roman" w:hAnsi="Times New Roman" w:eastAsia="仿宋_GB2312" w:cs="Times New Roman"/>
          <w:sz w:val="32"/>
          <w:szCs w:val="32"/>
        </w:rPr>
        <w:t>，拟征收土地规划用途</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交通运输用地</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用地报批组卷批次号为广州市花都区202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年度第</w:t>
      </w:r>
      <w:r>
        <w:rPr>
          <w:rFonts w:hint="eastAsia"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批次城镇建设用地。</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w:t>
      </w:r>
      <w:r>
        <w:rPr>
          <w:rFonts w:hint="eastAsia" w:ascii="Times New Roman" w:hAnsi="Times New Roman" w:eastAsia="仿宋_GB2312" w:cs="Times New Roman"/>
          <w:sz w:val="32"/>
          <w:szCs w:val="32"/>
          <w:lang w:val="en-US" w:eastAsia="zh-CN"/>
        </w:rPr>
        <w:t>赤坭镇白坭瓮缸窑经济合作社、白坭马安岗经济合作社（共有）属下的集体所有土地0.1766公顷（2.6490亩）。不涉及农用地；涉及建设用地0.1766公顷（2.6490亩）；不涉及未利用地；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（二）拟征收广州市花都区赤坭镇蓝田新村经济合作社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共2.5329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37.9935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0.1058</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1.5870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0.0131公顷（0.1965亩）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2.4271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36.4065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广东省自然资源厅关于广州市征收农用地区片综合地价成果的批复</w:t>
      </w:r>
      <w:r>
        <w:rPr>
          <w:rFonts w:ascii="Times New Roman" w:hAnsi="Times New Roman" w:eastAsia="仿宋_GB2312" w:cs="Times New Roman"/>
          <w:sz w:val="32"/>
          <w:szCs w:val="32"/>
        </w:rPr>
        <w:t>》（粤自然资函</w:t>
      </w:r>
      <w:r>
        <w:rPr>
          <w:rFonts w:ascii="Times New Roman" w:hAnsi="Times New Roman" w:eastAsia="仿宋" w:cs="Times New Roman"/>
          <w:sz w:val="32"/>
          <w:szCs w:val="32"/>
        </w:rPr>
        <w:t>〔2021〕</w:t>
      </w:r>
      <w:r>
        <w:rPr>
          <w:rFonts w:ascii="Times New Roman" w:hAnsi="Times New Roman" w:eastAsia="仿宋_GB2312" w:cs="Times New Roman"/>
          <w:sz w:val="32"/>
          <w:szCs w:val="32"/>
        </w:rPr>
        <w:t>196号）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农用地土地补偿</w:t>
      </w:r>
      <w:r>
        <w:rPr>
          <w:rFonts w:hint="eastAsia" w:ascii="Times New Roman" w:hAnsi="Times New Roman" w:eastAsia="仿宋_GB2312" w:cs="Times New Roman"/>
          <w:sz w:val="32"/>
          <w:szCs w:val="32"/>
          <w:highlight w:val="none"/>
          <w:lang w:val="en-US" w:eastAsia="zh-CN"/>
        </w:rPr>
        <w:t>标准为</w:t>
      </w:r>
      <w:r>
        <w:rPr>
          <w:rFonts w:hint="default" w:ascii="Times New Roman" w:hAnsi="Times New Roman" w:eastAsia="仿宋_GB2312" w:cs="Times New Roman"/>
          <w:sz w:val="32"/>
          <w:szCs w:val="32"/>
          <w:highlight w:val="none"/>
        </w:rPr>
        <w:t>82.5万元/公顷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安置补助</w:t>
      </w:r>
      <w:r>
        <w:rPr>
          <w:rFonts w:hint="eastAsia" w:ascii="Times New Roman" w:hAnsi="Times New Roman" w:eastAsia="仿宋_GB2312" w:cs="Times New Roman"/>
          <w:sz w:val="32"/>
          <w:szCs w:val="32"/>
          <w:highlight w:val="none"/>
          <w:lang w:val="en-US" w:eastAsia="zh-CN"/>
        </w:rPr>
        <w:t>标准为</w:t>
      </w:r>
      <w:r>
        <w:rPr>
          <w:rFonts w:hint="default" w:ascii="Times New Roman" w:hAnsi="Times New Roman" w:eastAsia="仿宋_GB2312" w:cs="Times New Roman"/>
          <w:sz w:val="32"/>
          <w:szCs w:val="32"/>
          <w:highlight w:val="none"/>
        </w:rPr>
        <w:t>82.5万元/公顷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建设用地和未利用地</w:t>
      </w:r>
      <w:r>
        <w:rPr>
          <w:rFonts w:hint="eastAsia" w:ascii="Times New Roman" w:hAnsi="Times New Roman" w:eastAsia="仿宋_GB2312" w:cs="Times New Roman"/>
          <w:sz w:val="32"/>
          <w:szCs w:val="32"/>
          <w:highlight w:val="none"/>
          <w:lang w:val="en-US" w:eastAsia="zh-CN"/>
        </w:rPr>
        <w:t>土地补偿标准为</w:t>
      </w:r>
      <w:r>
        <w:rPr>
          <w:rFonts w:hint="default" w:ascii="Times New Roman" w:hAnsi="Times New Roman" w:eastAsia="仿宋_GB2312" w:cs="Times New Roman"/>
          <w:sz w:val="32"/>
          <w:szCs w:val="32"/>
          <w:highlight w:val="none"/>
        </w:rPr>
        <w:t>165万元/公顷</w:t>
      </w:r>
      <w:bookmarkStart w:id="0" w:name="_GoBack"/>
      <w:bookmarkEnd w:id="0"/>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lang w:val="en-US" w:eastAsia="zh-CN" w:bidi="ar-SA"/>
        </w:rPr>
        <w:t>（二）</w:t>
      </w:r>
      <w:r>
        <w:rPr>
          <w:rFonts w:hint="default" w:ascii="Times New Roman" w:hAnsi="Times New Roman" w:eastAsia="仿宋_GB2312" w:cs="Times New Roman"/>
          <w:color w:val="auto"/>
          <w:sz w:val="32"/>
          <w:szCs w:val="32"/>
          <w:highlight w:val="none"/>
        </w:rPr>
        <w:t>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本次征地不涉及农村村民住宅补偿</w:t>
      </w:r>
      <w:r>
        <w:rPr>
          <w:rFonts w:hint="default" w:ascii="Times New Roman" w:hAnsi="Times New Roman" w:eastAsia="仿宋_GB2312" w:cs="Times New Roman"/>
          <w:color w:val="auto"/>
          <w:sz w:val="32"/>
          <w:szCs w:val="32"/>
          <w:highlight w:val="none"/>
          <w:lang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bidi="ar-SA"/>
        </w:rPr>
        <w:t>（三）</w:t>
      </w: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sz w:val="32"/>
          <w:szCs w:val="32"/>
        </w:rPr>
        <w:t>（二）留用地安置。根据</w:t>
      </w:r>
      <w:r>
        <w:rPr>
          <w:rFonts w:ascii="Times New Roman" w:hAnsi="Times New Roman" w:eastAsia="仿宋_GB2312" w:cs="Times New Roman"/>
          <w:sz w:val="32"/>
          <w:szCs w:val="32"/>
        </w:rPr>
        <w:t>《广东省征收农村集体土地留用地管理办法》（粤府办〔2009〕41号）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《广东省人民政府办公厅关于加强征收农村集体土地留用地安置管理工作的意见》（粤府办〔2016〕30号）相关规定，</w:t>
      </w:r>
      <w:r>
        <w:rPr>
          <w:rFonts w:hint="default" w:ascii="Times New Roman" w:hAnsi="Times New Roman" w:eastAsia="仿宋_GB2312" w:cs="Times New Roman"/>
          <w:sz w:val="32"/>
          <w:szCs w:val="32"/>
          <w:highlight w:val="none"/>
        </w:rPr>
        <w:t>按实际征收土地面积的</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折算货币补偿</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rPr>
        <w:t>核定该项目</w:t>
      </w:r>
      <w:r>
        <w:rPr>
          <w:rFonts w:hint="eastAsia" w:ascii="Times New Roman" w:hAnsi="Times New Roman" w:eastAsia="仿宋_GB2312" w:cs="Times New Roman"/>
          <w:color w:val="auto"/>
          <w:sz w:val="32"/>
          <w:szCs w:val="32"/>
          <w:highlight w:val="none"/>
          <w:lang w:val="en-US" w:eastAsia="zh-CN"/>
        </w:rPr>
        <w:t>涉及应纳入养老保障范围的被征地农民人数共6人，</w:t>
      </w:r>
      <w:r>
        <w:rPr>
          <w:rFonts w:hint="default" w:ascii="Times New Roman" w:hAnsi="Times New Roman" w:eastAsia="仿宋_GB2312" w:cs="Times New Roman"/>
          <w:color w:val="auto"/>
          <w:sz w:val="32"/>
          <w:szCs w:val="32"/>
          <w:highlight w:val="none"/>
        </w:rPr>
        <w:t>按每人16200元标准一次性</w:t>
      </w:r>
      <w:r>
        <w:rPr>
          <w:rFonts w:hint="eastAsia" w:ascii="Times New Roman" w:hAnsi="Times New Roman" w:eastAsia="仿宋_GB2312" w:cs="Times New Roman"/>
          <w:color w:val="auto"/>
          <w:sz w:val="32"/>
          <w:szCs w:val="32"/>
          <w:highlight w:val="none"/>
          <w:lang w:val="en-US" w:eastAsia="zh-CN"/>
        </w:rPr>
        <w:t>将</w:t>
      </w:r>
      <w:r>
        <w:rPr>
          <w:rFonts w:hint="default" w:ascii="Times New Roman" w:hAnsi="Times New Roman" w:eastAsia="仿宋_GB2312" w:cs="Times New Roman"/>
          <w:color w:val="auto"/>
          <w:sz w:val="32"/>
          <w:szCs w:val="32"/>
          <w:highlight w:val="none"/>
        </w:rPr>
        <w:t>集体被征地农民养老保障资金存入“收缴被征地农民养老保障资金过渡户”，费用合计</w:t>
      </w:r>
      <w:r>
        <w:rPr>
          <w:rFonts w:hint="eastAsia" w:ascii="Times New Roman" w:hAnsi="Times New Roman" w:eastAsia="仿宋_GB2312" w:cs="Times New Roman"/>
          <w:color w:val="auto"/>
          <w:sz w:val="32"/>
          <w:szCs w:val="32"/>
          <w:highlight w:val="none"/>
          <w:u w:val="none"/>
          <w:lang w:val="en-US" w:eastAsia="zh-CN"/>
        </w:rPr>
        <w:t>9.72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rPr>
        <w:t>专款用于被征地农民缴纳养老保险费用。征地批准文件批复的实际范围有变化的，费用将做相应调整。</w:t>
      </w:r>
    </w:p>
    <w:p>
      <w:pPr>
        <w:pStyle w:val="3"/>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3"/>
        <w:spacing w:before="0" w:line="437" w:lineRule="exact"/>
        <w:ind w:left="0" w:right="260"/>
        <w:jc w:val="right"/>
        <w:rPr>
          <w:rFonts w:hint="eastAsia" w:ascii="仿宋_GB2312" w:hAnsi="仿宋_GB2312" w:eastAsia="仿宋_GB2312" w:cs="仿宋_GB2312"/>
          <w:sz w:val="32"/>
          <w:szCs w:val="32"/>
        </w:rPr>
      </w:pPr>
    </w:p>
    <w:p>
      <w:pPr>
        <w:pStyle w:val="3"/>
        <w:spacing w:before="0" w:line="437" w:lineRule="exact"/>
        <w:ind w:left="0" w:right="260"/>
        <w:jc w:val="right"/>
        <w:rPr>
          <w:rFonts w:hint="eastAsia" w:ascii="仿宋_GB2312" w:hAnsi="仿宋_GB2312" w:eastAsia="仿宋_GB2312" w:cs="仿宋_GB2312"/>
          <w:sz w:val="32"/>
          <w:szCs w:val="32"/>
        </w:rPr>
      </w:pPr>
    </w:p>
    <w:p>
      <w:pPr>
        <w:pStyle w:val="3"/>
        <w:spacing w:before="0" w:line="580" w:lineRule="exact"/>
        <w:ind w:left="0" w:right="261"/>
        <w:jc w:val="righ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val="en-US" w:eastAsia="zh-CN"/>
        </w:rPr>
        <w:t>规划和自然资源局花都区分局</w:t>
      </w:r>
    </w:p>
    <w:p>
      <w:pPr>
        <w:pStyle w:val="3"/>
        <w:spacing w:line="580" w:lineRule="exact"/>
        <w:ind w:left="0" w:right="261"/>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pacing w:val="0"/>
          <w:sz w:val="32"/>
          <w:szCs w:val="32"/>
          <w:lang w:val="en-US" w:eastAsia="zh-CN"/>
        </w:rPr>
        <w:t>10</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pacing w:val="0"/>
          <w:sz w:val="32"/>
          <w:szCs w:val="32"/>
          <w:lang w:val="en-US" w:eastAsia="zh-CN"/>
        </w:rPr>
        <w:t>25</w:t>
      </w:r>
      <w:r>
        <w:rPr>
          <w:rFonts w:hint="eastAsia" w:ascii="Times New Roman" w:hAnsi="Times New Roman" w:eastAsia="仿宋_GB2312" w:cs="Times New Roman"/>
          <w:sz w:val="32"/>
          <w:szCs w:val="32"/>
          <w:lang w:eastAsia="zh-CN"/>
        </w:rPr>
        <w:t>日</w:t>
      </w:r>
    </w:p>
    <w:sectPr>
      <w:footerReference r:id="rId5" w:type="default"/>
      <w:pgSz w:w="11910" w:h="16840"/>
      <w:pgMar w:top="1520" w:right="1540" w:bottom="1502"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FlMzI4MzFiZDAxOGFkOGI5M2M5NzcxNmY1YjQyOTkifQ=="/>
  </w:docVars>
  <w:rsids>
    <w:rsidRoot w:val="00000000"/>
    <w:rsid w:val="030D1F7E"/>
    <w:rsid w:val="05452524"/>
    <w:rsid w:val="058D51EC"/>
    <w:rsid w:val="07341D0C"/>
    <w:rsid w:val="08682950"/>
    <w:rsid w:val="08BB68D4"/>
    <w:rsid w:val="0C490294"/>
    <w:rsid w:val="0C890300"/>
    <w:rsid w:val="0D4202C7"/>
    <w:rsid w:val="0E280906"/>
    <w:rsid w:val="0F6E1DAB"/>
    <w:rsid w:val="14117786"/>
    <w:rsid w:val="162E29AA"/>
    <w:rsid w:val="16E50DE0"/>
    <w:rsid w:val="16F513EF"/>
    <w:rsid w:val="184E0190"/>
    <w:rsid w:val="1ACF5C54"/>
    <w:rsid w:val="1B9575F6"/>
    <w:rsid w:val="1BD94065"/>
    <w:rsid w:val="1DF36D83"/>
    <w:rsid w:val="1F3B669A"/>
    <w:rsid w:val="20604EB4"/>
    <w:rsid w:val="25E90043"/>
    <w:rsid w:val="25F969F8"/>
    <w:rsid w:val="2AD77D2D"/>
    <w:rsid w:val="31234F7C"/>
    <w:rsid w:val="34394804"/>
    <w:rsid w:val="35C846D0"/>
    <w:rsid w:val="383B47A3"/>
    <w:rsid w:val="398D796B"/>
    <w:rsid w:val="39A42B0C"/>
    <w:rsid w:val="400101DB"/>
    <w:rsid w:val="418B47CE"/>
    <w:rsid w:val="41BD4926"/>
    <w:rsid w:val="42D16598"/>
    <w:rsid w:val="4A802994"/>
    <w:rsid w:val="4E9513FD"/>
    <w:rsid w:val="505622BB"/>
    <w:rsid w:val="518671FD"/>
    <w:rsid w:val="54B905A1"/>
    <w:rsid w:val="552D39B4"/>
    <w:rsid w:val="55F85AD5"/>
    <w:rsid w:val="5BEA079F"/>
    <w:rsid w:val="5DD0709E"/>
    <w:rsid w:val="5DF800BA"/>
    <w:rsid w:val="60ED7D0A"/>
    <w:rsid w:val="61504A17"/>
    <w:rsid w:val="62504B1C"/>
    <w:rsid w:val="6ACB25EE"/>
    <w:rsid w:val="6D6C238D"/>
    <w:rsid w:val="6F5F5387"/>
    <w:rsid w:val="6FB32D7A"/>
    <w:rsid w:val="71A633FF"/>
    <w:rsid w:val="724F0D1A"/>
    <w:rsid w:val="73050897"/>
    <w:rsid w:val="76D956B1"/>
    <w:rsid w:val="77B36986"/>
    <w:rsid w:val="77BF1E80"/>
    <w:rsid w:val="78EA684E"/>
    <w:rsid w:val="797A48CF"/>
    <w:rsid w:val="7CEA1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1481</Words>
  <Characters>1574</Characters>
  <TotalTime>23</TotalTime>
  <ScaleCrop>false</ScaleCrop>
  <LinksUpToDate>false</LinksUpToDate>
  <CharactersWithSpaces>1628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minjin</cp:lastModifiedBy>
  <dcterms:modified xsi:type="dcterms:W3CDTF">2023-11-01T07:17:48Z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2052-12.1.0.15712</vt:lpwstr>
  </property>
  <property fmtid="{D5CDD505-2E9C-101B-9397-08002B2CF9AE}" pid="6" name="ICV">
    <vt:lpwstr>4DFBAE58533245A6A3E6FCA55C54D6E1</vt:lpwstr>
  </property>
</Properties>
</file>