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仿宋_GB2312" w:hAnsi="仿宋_GB2312" w:cs="仿宋_GB2312"/>
          <w:color w:val="FF0000"/>
          <w:sz w:val="32"/>
          <w:szCs w:val="32"/>
          <w:lang w:val="en-US" w:eastAsia="zh-CN"/>
        </w:rPr>
      </w:pPr>
      <w:r>
        <w:rPr>
          <w:rFonts w:hint="eastAsia" w:ascii="仿宋_GB2312" w:hAnsi="仿宋_GB2312" w:cs="仿宋_GB2312"/>
          <w:color w:val="FF0000"/>
          <w:sz w:val="32"/>
          <w:szCs w:val="32"/>
          <w:lang w:val="en-US" w:eastAsia="zh-CN"/>
        </w:rPr>
        <w:t>以此为准</w:t>
      </w:r>
    </w:p>
    <w:p>
      <w:pPr>
        <w:pStyle w:val="2"/>
        <w:rPr>
          <w:rFonts w:hint="eastAsia"/>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广州市花都区2023年度第六十批次城镇建设用地（G07-HS01地块二期）</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广州市花都区2023年度第六十批次城镇建设用地（G07-HS01地块二期）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广州市花都区2023年度第六十批次城镇建设用地（G07-HS01地块二期）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花山镇两龙村、洛场村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FF0000"/>
          <w:spacing w:val="0"/>
          <w:kern w:val="0"/>
          <w:sz w:val="32"/>
          <w:szCs w:val="32"/>
          <w:shd w:val="clear" w:color="auto" w:fill="FFFFFF"/>
          <w:lang w:val="en-US" w:eastAsia="zh-CN" w:bidi="ar"/>
        </w:rPr>
        <w:t>149.3400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FF0000"/>
          <w:kern w:val="2"/>
          <w:shd w:val="clear" w:color="auto" w:fill="auto"/>
          <w:lang w:eastAsia="zh-CN" w:bidi="ar-SA"/>
        </w:rPr>
        <w:t>花都</w:t>
      </w:r>
      <w:r>
        <w:rPr>
          <w:rFonts w:hint="eastAsia" w:ascii="仿宋_GB2312" w:hAnsi="仿宋_GB2312" w:cs="仿宋_GB2312"/>
          <w:color w:val="FF0000"/>
          <w:kern w:val="2"/>
          <w:shd w:val="clear" w:color="auto" w:fill="auto"/>
          <w:lang w:bidi="ar-SA"/>
        </w:rPr>
        <w:t>区平均每亩征收农用地区片综合地价</w:t>
      </w:r>
      <w:r>
        <w:rPr>
          <w:rFonts w:hint="eastAsia" w:ascii="仿宋_GB2312" w:hAnsi="仿宋_GB2312" w:cs="仿宋_GB2312"/>
          <w:color w:val="FF0000"/>
          <w:kern w:val="2"/>
          <w:shd w:val="clear" w:color="auto" w:fill="auto"/>
          <w:lang w:val="en-US" w:eastAsia="zh-CN" w:bidi="ar-SA"/>
        </w:rPr>
        <w:t>13.33</w:t>
      </w:r>
      <w:r>
        <w:rPr>
          <w:rFonts w:hint="eastAsia" w:ascii="仿宋_GB2312" w:hAnsi="仿宋_GB2312" w:cs="仿宋_GB2312"/>
          <w:color w:val="FF0000"/>
          <w:kern w:val="2"/>
          <w:shd w:val="clear" w:color="auto" w:fill="auto"/>
          <w:lang w:bidi="ar-SA"/>
        </w:rPr>
        <w:t>万元/亩</w:t>
      </w:r>
      <w:r>
        <w:rPr>
          <w:rFonts w:hint="eastAsia" w:ascii="仿宋_GB2312" w:hAnsi="仿宋_GB2312" w:cs="仿宋_GB2312"/>
          <w:color w:val="FF0000"/>
          <w:kern w:val="2"/>
          <w:shd w:val="clear" w:color="auto" w:fill="auto"/>
          <w:lang w:eastAsia="zh-CN" w:bidi="ar-SA"/>
        </w:rPr>
        <w:t>的</w:t>
      </w:r>
      <w:r>
        <w:rPr>
          <w:rFonts w:hint="eastAsia" w:ascii="仿宋_GB2312" w:hAnsi="仿宋_GB2312" w:cs="仿宋_GB2312"/>
          <w:color w:val="FF0000"/>
          <w:kern w:val="2"/>
          <w:shd w:val="clear" w:color="auto" w:fill="auto"/>
          <w:lang w:val="en-US" w:eastAsia="zh-CN" w:bidi="ar-SA"/>
        </w:rPr>
        <w:t>16</w:t>
      </w:r>
      <w:r>
        <w:rPr>
          <w:rFonts w:hint="eastAsia" w:ascii="仿宋_GB2312" w:hAnsi="仿宋_GB2312" w:cs="仿宋_GB2312"/>
          <w:color w:val="FF0000"/>
          <w:kern w:val="2"/>
          <w:shd w:val="clear" w:color="auto" w:fill="auto"/>
          <w:lang w:bidi="ar-SA"/>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319.65</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FF0000"/>
          <w:kern w:val="2"/>
          <w:shd w:val="clear" w:color="auto" w:fill="auto"/>
          <w:lang w:eastAsia="zh-CN" w:bidi="ar-SA"/>
        </w:rPr>
        <w:t>花都</w:t>
      </w:r>
      <w:r>
        <w:rPr>
          <w:rFonts w:hint="eastAsia" w:ascii="仿宋_GB2312" w:hAnsi="仿宋_GB2312" w:cs="仿宋_GB2312"/>
          <w:color w:val="FF0000"/>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2023</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10</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color w:val="FF0000"/>
          <w:sz w:val="32"/>
          <w:szCs w:val="32"/>
          <w:lang w:val="en-US" w:eastAsia="zh-CN"/>
        </w:rPr>
        <w:t>23</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49"/>
        <w:gridCol w:w="2911"/>
        <w:gridCol w:w="1724"/>
        <w:gridCol w:w="1618"/>
        <w:gridCol w:w="17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6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restart"/>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lang w:eastAsia="zh-CN"/>
              </w:rPr>
            </w:pPr>
            <w:r>
              <w:rPr>
                <w:rFonts w:hint="eastAsia" w:ascii="仿宋_GB2312" w:hAnsi="仿宋_GB2312" w:cs="仿宋_GB2312"/>
                <w:color w:val="FF0000"/>
                <w:kern w:val="0"/>
                <w:sz w:val="24"/>
                <w:szCs w:val="24"/>
                <w:lang w:eastAsia="zh-CN"/>
              </w:rPr>
              <w:t>花山镇</w:t>
            </w: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两龙村东坑第二经济合作社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6.8505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14.67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两龙村东坑第二经济合作社、东坑第一经济合作社、南社经济合作社、张庄经济合作社（共有）</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3.8115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8.16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两龙村东坑第一经济合作社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7.9725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17.07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两龙村东社经济合作社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118.6005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253.81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两龙村经济联合社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0.1185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两龙村太记经济合作社、洛场村第七经济合作社（共有）</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0.9270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两龙村杨兴经济合作社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0.7680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两龙村张庄经济合作社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10.1685</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21.77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74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p>
        </w:tc>
        <w:tc>
          <w:tcPr>
            <w:tcW w:w="29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洛场村第六经济合作社</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0.1230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0.27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6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合计</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宋体" w:hAnsi="宋体" w:eastAsia="宋体" w:cs="宋体"/>
                <w:i w:val="0"/>
                <w:iCs w:val="0"/>
                <w:color w:val="FF0000"/>
                <w:kern w:val="0"/>
                <w:sz w:val="22"/>
                <w:szCs w:val="22"/>
                <w:u w:val="none"/>
                <w:lang w:val="en-US" w:eastAsia="zh-CN" w:bidi="ar"/>
              </w:rPr>
              <w:t>149.3400</w:t>
            </w:r>
          </w:p>
        </w:tc>
        <w:tc>
          <w:tcPr>
            <w:tcW w:w="1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宋体" w:hAnsi="宋体" w:eastAsia="宋体" w:cs="宋体"/>
                <w:i w:val="0"/>
                <w:iCs w:val="0"/>
                <w:color w:val="FF0000"/>
                <w:kern w:val="0"/>
                <w:sz w:val="22"/>
                <w:szCs w:val="22"/>
                <w:u w:val="none"/>
                <w:lang w:val="en-US" w:eastAsia="zh-CN" w:bidi="ar"/>
              </w:rPr>
              <w:t>319.65</w:t>
            </w:r>
          </w:p>
        </w:tc>
      </w:tr>
    </w:tbl>
    <w:p>
      <w:pPr>
        <w:spacing w:line="320" w:lineRule="exact"/>
        <w:ind w:right="210"/>
        <w:jc w:val="left"/>
        <w:rPr>
          <w:rFonts w:hint="eastAsia"/>
          <w:color w:val="FF0000"/>
          <w:sz w:val="24"/>
          <w:szCs w:val="28"/>
        </w:rPr>
      </w:pPr>
      <w:r>
        <w:rPr>
          <w:rFonts w:hint="eastAsia"/>
          <w:color w:val="FF0000"/>
          <w:sz w:val="24"/>
          <w:szCs w:val="28"/>
          <w:lang w:eastAsia="zh-CN"/>
        </w:rPr>
        <w:t>备注：</w:t>
      </w:r>
      <w:r>
        <w:rPr>
          <w:rFonts w:hint="eastAsia"/>
          <w:color w:val="FF0000"/>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pStyle w:val="2"/>
        <w:ind w:left="0" w:leftChars="0" w:firstLine="0" w:firstLineChars="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D20162"/>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BD60CF1"/>
    <w:rsid w:val="5D7072F6"/>
    <w:rsid w:val="5D722B54"/>
    <w:rsid w:val="5FE43DCD"/>
    <w:rsid w:val="614340C8"/>
    <w:rsid w:val="64127CE3"/>
    <w:rsid w:val="64374311"/>
    <w:rsid w:val="65A9621A"/>
    <w:rsid w:val="66177D25"/>
    <w:rsid w:val="68E27066"/>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2023-10-23T03:05:58Z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F89E7B06C6C6408790A5A7B0BC4DAC8B</vt:lpwstr>
  </property>
</Properties>
</file>