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0"/>
          <w:szCs w:val="30"/>
          <w:lang w:val="en-US" w:eastAsia="zh-CN"/>
        </w:rPr>
        <w:t xml:space="preserve">  </w:t>
      </w:r>
      <w:r>
        <w:rPr>
          <w:rFonts w:hint="eastAsia" w:ascii="黑体" w:hAnsi="黑体" w:eastAsia="黑体" w:cs="黑体"/>
          <w:sz w:val="32"/>
          <w:szCs w:val="32"/>
          <w:lang w:val="en-US" w:eastAsia="zh-CN"/>
        </w:rPr>
        <w:t xml:space="preserve">                 </w:t>
      </w:r>
    </w:p>
    <w:p>
      <w:pPr>
        <w:jc w:val="both"/>
        <w:rPr>
          <w:rFonts w:hint="eastAsia" w:ascii="黑体" w:hAnsi="黑体" w:eastAsia="黑体" w:cs="黑体"/>
          <w:sz w:val="32"/>
          <w:szCs w:val="32"/>
          <w:lang w:val="en-US" w:eastAsia="zh-CN"/>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花都区</w:t>
      </w:r>
      <w:r>
        <w:rPr>
          <w:rFonts w:hint="eastAsia" w:ascii="方正小标宋简体" w:hAnsi="方正小标宋简体" w:eastAsia="方正小标宋简体" w:cs="方正小标宋简体"/>
          <w:sz w:val="44"/>
          <w:szCs w:val="44"/>
        </w:rPr>
        <w:t>医养结合试点工作任务分解表</w:t>
      </w:r>
    </w:p>
    <w:tbl>
      <w:tblPr>
        <w:tblStyle w:val="4"/>
        <w:tblpPr w:leftFromText="180" w:rightFromText="180" w:vertAnchor="text" w:horzAnchor="page" w:tblpX="1250" w:tblpY="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32"/>
        <w:gridCol w:w="868"/>
        <w:gridCol w:w="859"/>
        <w:gridCol w:w="10105"/>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82" w:type="dxa"/>
            <w:gridSpan w:val="3"/>
            <w:noWrap w:val="0"/>
            <w:vAlign w:val="center"/>
          </w:tcPr>
          <w:p>
            <w:pPr>
              <w:jc w:val="center"/>
              <w:rPr>
                <w:rFonts w:ascii="黑体" w:hAnsi="黑体" w:eastAsia="黑体" w:cs="黑体"/>
                <w:sz w:val="24"/>
              </w:rPr>
            </w:pPr>
            <w:r>
              <w:rPr>
                <w:rFonts w:hint="eastAsia" w:ascii="黑体" w:hAnsi="黑体" w:eastAsia="黑体" w:cs="黑体"/>
                <w:sz w:val="24"/>
              </w:rPr>
              <w:t>项目</w:t>
            </w:r>
          </w:p>
        </w:tc>
        <w:tc>
          <w:tcPr>
            <w:tcW w:w="859" w:type="dxa"/>
            <w:noWrap w:val="0"/>
            <w:vAlign w:val="center"/>
          </w:tcPr>
          <w:p>
            <w:pPr>
              <w:jc w:val="center"/>
              <w:rPr>
                <w:rFonts w:ascii="黑体" w:hAnsi="黑体" w:eastAsia="黑体" w:cs="黑体"/>
                <w:sz w:val="24"/>
              </w:rPr>
            </w:pPr>
            <w:r>
              <w:rPr>
                <w:rFonts w:hint="eastAsia" w:ascii="黑体" w:hAnsi="黑体" w:eastAsia="黑体" w:cs="黑体"/>
                <w:sz w:val="24"/>
              </w:rPr>
              <w:t>序号</w:t>
            </w:r>
          </w:p>
        </w:tc>
        <w:tc>
          <w:tcPr>
            <w:tcW w:w="10105" w:type="dxa"/>
            <w:noWrap w:val="0"/>
            <w:vAlign w:val="center"/>
          </w:tcPr>
          <w:p>
            <w:pPr>
              <w:jc w:val="center"/>
              <w:rPr>
                <w:rFonts w:ascii="黑体" w:hAnsi="黑体" w:eastAsia="黑体" w:cs="黑体"/>
                <w:sz w:val="24"/>
              </w:rPr>
            </w:pPr>
            <w:r>
              <w:rPr>
                <w:rFonts w:hint="eastAsia" w:ascii="黑体" w:hAnsi="黑体" w:eastAsia="黑体" w:cs="黑体"/>
                <w:sz w:val="24"/>
              </w:rPr>
              <w:t>具体任务</w:t>
            </w:r>
          </w:p>
        </w:tc>
        <w:tc>
          <w:tcPr>
            <w:tcW w:w="1909" w:type="dxa"/>
            <w:noWrap w:val="0"/>
            <w:vAlign w:val="center"/>
          </w:tcPr>
          <w:p>
            <w:pPr>
              <w:jc w:val="center"/>
              <w:rPr>
                <w:rFonts w:ascii="黑体" w:hAnsi="黑体" w:eastAsia="黑体" w:cs="黑体"/>
                <w:sz w:val="24"/>
              </w:rPr>
            </w:pPr>
            <w:r>
              <w:rPr>
                <w:rFonts w:hint="eastAsia" w:ascii="黑体" w:hAnsi="黑体" w:eastAsia="黑体" w:cs="黑体"/>
                <w:sz w:val="24"/>
              </w:rPr>
              <w:t>负责单位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Merge w:val="restart"/>
            <w:noWrap w:val="0"/>
            <w:textDirection w:val="tbRlV"/>
            <w:vAlign w:val="top"/>
          </w:tcPr>
          <w:p>
            <w:pPr>
              <w:ind w:left="113" w:right="113"/>
              <w:jc w:val="center"/>
              <w:rPr>
                <w:rFonts w:ascii="仿宋_GB2312" w:hAnsi="仿宋_GB2312" w:eastAsia="仿宋_GB2312" w:cs="仿宋_GB2312"/>
                <w:sz w:val="24"/>
              </w:rPr>
            </w:pPr>
            <w:r>
              <w:rPr>
                <w:rFonts w:hint="eastAsia" w:ascii="仿宋_GB2312" w:hAnsi="仿宋_GB2312" w:eastAsia="仿宋_GB2312" w:cs="仿宋_GB2312"/>
                <w:sz w:val="24"/>
              </w:rPr>
              <w:t>一、重点任务</w:t>
            </w:r>
          </w:p>
        </w:tc>
        <w:tc>
          <w:tcPr>
            <w:tcW w:w="900" w:type="dxa"/>
            <w:gridSpan w:val="2"/>
            <w:vMerge w:val="restart"/>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（一）</w:t>
            </w:r>
          </w:p>
          <w:p>
            <w:pPr>
              <w:jc w:val="center"/>
              <w:rPr>
                <w:rFonts w:ascii="仿宋_GB2312" w:hAnsi="仿宋_GB2312" w:eastAsia="仿宋_GB2312" w:cs="仿宋_GB2312"/>
                <w:sz w:val="24"/>
              </w:rPr>
            </w:pPr>
            <w:r>
              <w:rPr>
                <w:rFonts w:hint="eastAsia" w:ascii="仿宋_GB2312" w:hAnsi="仿宋_GB2312" w:eastAsia="仿宋_GB2312" w:cs="仿宋_GB2312"/>
                <w:sz w:val="24"/>
              </w:rPr>
              <w:t>提高医疗机构老年医疗</w:t>
            </w:r>
            <w:r>
              <w:rPr>
                <w:rFonts w:hint="eastAsia" w:ascii="仿宋_GB2312" w:hAnsi="仿宋_GB2312" w:eastAsia="仿宋_GB2312" w:cs="仿宋_GB2312"/>
                <w:sz w:val="24"/>
                <w:lang w:eastAsia="zh-CN"/>
              </w:rPr>
              <w:t>服务</w:t>
            </w:r>
            <w:r>
              <w:rPr>
                <w:rFonts w:hint="eastAsia" w:ascii="仿宋_GB2312" w:hAnsi="仿宋_GB2312" w:eastAsia="仿宋_GB2312" w:cs="仿宋_GB2312"/>
                <w:sz w:val="24"/>
              </w:rPr>
              <w:t>水平</w:t>
            </w:r>
          </w:p>
        </w:tc>
        <w:tc>
          <w:tcPr>
            <w:tcW w:w="859" w:type="dxa"/>
            <w:noWrap w:val="0"/>
            <w:vAlign w:val="center"/>
          </w:tcPr>
          <w:p>
            <w:pPr>
              <w:jc w:val="center"/>
              <w:rPr>
                <w:rFonts w:ascii="宋体" w:hAnsi="宋体" w:eastAsia="宋体" w:cs="宋体"/>
                <w:sz w:val="24"/>
              </w:rPr>
            </w:pPr>
            <w:r>
              <w:rPr>
                <w:rFonts w:hint="eastAsia" w:ascii="宋体" w:hAnsi="宋体" w:eastAsia="宋体" w:cs="宋体"/>
                <w:sz w:val="24"/>
              </w:rPr>
              <w:t>1</w:t>
            </w:r>
          </w:p>
        </w:tc>
        <w:tc>
          <w:tcPr>
            <w:tcW w:w="10105" w:type="dxa"/>
            <w:noWrap w:val="0"/>
            <w:vAlign w:val="top"/>
          </w:tcPr>
          <w:p>
            <w:pPr>
              <w:ind w:firstLine="480" w:firstLineChars="200"/>
              <w:rPr>
                <w:rFonts w:ascii="仿宋_GB2312" w:hAnsi="仿宋_GB2312" w:eastAsia="仿宋_GB2312" w:cs="仿宋_GB2312"/>
                <w:sz w:val="24"/>
              </w:rPr>
            </w:pPr>
            <w:r>
              <w:rPr>
                <w:rFonts w:hint="eastAsia" w:ascii="仿宋_GB2312" w:hAnsi="仿宋_GB2312" w:eastAsia="仿宋_GB2312" w:cs="仿宋_GB2312"/>
                <w:color w:val="auto"/>
                <w:sz w:val="24"/>
              </w:rPr>
              <w:t>有条件</w:t>
            </w:r>
            <w:r>
              <w:rPr>
                <w:rFonts w:hint="eastAsia" w:ascii="仿宋_GB2312" w:hAnsi="仿宋_GB2312" w:eastAsia="仿宋_GB2312" w:cs="仿宋_GB2312"/>
                <w:color w:val="auto"/>
                <w:sz w:val="24"/>
                <w:lang w:eastAsia="zh-CN"/>
              </w:rPr>
              <w:t>的</w:t>
            </w:r>
            <w:r>
              <w:rPr>
                <w:rFonts w:hint="eastAsia" w:ascii="仿宋_GB2312" w:hAnsi="仿宋_GB2312" w:eastAsia="仿宋_GB2312" w:cs="仿宋_GB2312"/>
                <w:color w:val="auto"/>
                <w:sz w:val="24"/>
              </w:rPr>
              <w:t>医疗机构逐步设立老年病区。提供设有全天候病床和日间病床（即让患者白天住院、晚上回家）的“半住院”式医院；不具备设置老年病区医疗机构建立老年病治疗、康复、护理等专业流动医疗队，为居家养老中心、养老院等提供老年人医疗服务专业指导和培训。</w:t>
            </w:r>
          </w:p>
        </w:tc>
        <w:tc>
          <w:tcPr>
            <w:tcW w:w="1909" w:type="dxa"/>
            <w:noWrap w:val="0"/>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区卫计局</w:t>
            </w:r>
            <w:r>
              <w:rPr>
                <w:rFonts w:hint="eastAsia" w:ascii="仿宋_GB2312" w:hAnsi="仿宋_GB2312" w:eastAsia="仿宋_GB2312" w:cs="仿宋_GB2312"/>
                <w:sz w:val="24"/>
                <w:lang w:eastAsia="zh-CN"/>
              </w:rPr>
              <w:t>，民政局、发改局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Merge w:val="continue"/>
            <w:noWrap w:val="0"/>
            <w:vAlign w:val="top"/>
          </w:tcPr>
          <w:p>
            <w:pPr>
              <w:jc w:val="center"/>
              <w:rPr>
                <w:rFonts w:ascii="仿宋_GB2312" w:hAnsi="仿宋_GB2312" w:eastAsia="仿宋_GB2312" w:cs="仿宋_GB2312"/>
                <w:sz w:val="24"/>
              </w:rPr>
            </w:pPr>
          </w:p>
        </w:tc>
        <w:tc>
          <w:tcPr>
            <w:tcW w:w="900" w:type="dxa"/>
            <w:gridSpan w:val="2"/>
            <w:vMerge w:val="continue"/>
            <w:noWrap w:val="0"/>
            <w:vAlign w:val="top"/>
          </w:tcPr>
          <w:p>
            <w:pPr>
              <w:jc w:val="center"/>
              <w:rPr>
                <w:rFonts w:ascii="仿宋_GB2312" w:hAnsi="仿宋_GB2312" w:eastAsia="仿宋_GB2312" w:cs="仿宋_GB2312"/>
                <w:sz w:val="24"/>
              </w:rPr>
            </w:pPr>
          </w:p>
        </w:tc>
        <w:tc>
          <w:tcPr>
            <w:tcW w:w="859" w:type="dxa"/>
            <w:noWrap w:val="0"/>
            <w:vAlign w:val="center"/>
          </w:tcPr>
          <w:p>
            <w:pPr>
              <w:jc w:val="center"/>
              <w:rPr>
                <w:rFonts w:ascii="宋体" w:hAnsi="宋体" w:eastAsia="宋体" w:cs="宋体"/>
                <w:sz w:val="24"/>
              </w:rPr>
            </w:pPr>
            <w:r>
              <w:rPr>
                <w:rFonts w:hint="eastAsia" w:ascii="宋体" w:hAnsi="宋体" w:eastAsia="宋体" w:cs="宋体"/>
                <w:sz w:val="24"/>
              </w:rPr>
              <w:t>2</w:t>
            </w:r>
          </w:p>
        </w:tc>
        <w:tc>
          <w:tcPr>
            <w:tcW w:w="10105" w:type="dxa"/>
            <w:noWrap w:val="0"/>
            <w:vAlign w:val="top"/>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鼓励区内医疗机构与养老机构开展对口支援、合作共建模式。为老年人提供治疗期住院、康复期护理、稳定期生活照料等工作服务。</w:t>
            </w:r>
          </w:p>
        </w:tc>
        <w:tc>
          <w:tcPr>
            <w:tcW w:w="1909" w:type="dxa"/>
            <w:noWrap w:val="0"/>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区卫计局</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民政局</w:t>
            </w:r>
            <w:r>
              <w:rPr>
                <w:rFonts w:hint="eastAsia" w:ascii="仿宋_GB2312" w:hAnsi="仿宋_GB2312" w:eastAsia="仿宋_GB2312" w:cs="仿宋_GB2312"/>
                <w:sz w:val="24"/>
                <w:lang w:eastAsia="zh-CN"/>
              </w:rPr>
              <w:t>、发改局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vMerge w:val="continue"/>
            <w:noWrap w:val="0"/>
            <w:vAlign w:val="top"/>
          </w:tcPr>
          <w:p>
            <w:pPr>
              <w:jc w:val="center"/>
              <w:rPr>
                <w:rFonts w:ascii="仿宋_GB2312" w:hAnsi="仿宋_GB2312" w:eastAsia="仿宋_GB2312" w:cs="仿宋_GB2312"/>
                <w:sz w:val="24"/>
              </w:rPr>
            </w:pPr>
          </w:p>
        </w:tc>
        <w:tc>
          <w:tcPr>
            <w:tcW w:w="900" w:type="dxa"/>
            <w:gridSpan w:val="2"/>
            <w:vMerge w:val="continue"/>
            <w:noWrap w:val="0"/>
            <w:vAlign w:val="top"/>
          </w:tcPr>
          <w:p>
            <w:pPr>
              <w:jc w:val="center"/>
              <w:rPr>
                <w:rFonts w:ascii="仿宋_GB2312" w:hAnsi="仿宋_GB2312" w:eastAsia="仿宋_GB2312" w:cs="仿宋_GB2312"/>
                <w:sz w:val="24"/>
              </w:rPr>
            </w:pPr>
          </w:p>
        </w:tc>
        <w:tc>
          <w:tcPr>
            <w:tcW w:w="859" w:type="dxa"/>
            <w:noWrap w:val="0"/>
            <w:vAlign w:val="center"/>
          </w:tcPr>
          <w:p>
            <w:pPr>
              <w:jc w:val="center"/>
              <w:rPr>
                <w:rFonts w:ascii="宋体" w:hAnsi="宋体" w:eastAsia="宋体" w:cs="宋体"/>
                <w:sz w:val="24"/>
              </w:rPr>
            </w:pPr>
            <w:r>
              <w:rPr>
                <w:rFonts w:hint="eastAsia" w:ascii="宋体" w:hAnsi="宋体" w:eastAsia="宋体" w:cs="宋体"/>
                <w:sz w:val="24"/>
              </w:rPr>
              <w:t>3</w:t>
            </w:r>
          </w:p>
        </w:tc>
        <w:tc>
          <w:tcPr>
            <w:tcW w:w="10105" w:type="dxa"/>
            <w:noWrap w:val="0"/>
            <w:vAlign w:val="top"/>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发挥卫生计生系统服务网络优势，结合基本公共卫生服务的开展，为老年人建立健康档案，</w:t>
            </w:r>
          </w:p>
          <w:p>
            <w:pPr>
              <w:rPr>
                <w:rFonts w:ascii="仿宋_GB2312" w:hAnsi="仿宋_GB2312" w:eastAsia="仿宋_GB2312" w:cs="仿宋_GB2312"/>
                <w:sz w:val="24"/>
              </w:rPr>
            </w:pPr>
            <w:r>
              <w:rPr>
                <w:rFonts w:hint="eastAsia" w:ascii="仿宋_GB2312" w:hAnsi="仿宋_GB2312" w:eastAsia="仿宋_GB2312" w:cs="仿宋_GB2312"/>
                <w:sz w:val="24"/>
              </w:rPr>
              <w:t>并为65岁以上的老年人提供健康管理服务。鼓励为社区高龄、重病、失能、部分失能以及计划生育特殊家庭等行动不便或确有困难的老年人，提供定期体检、上门巡诊、家庭病床、社区护理、健康管理等基本服务。</w:t>
            </w:r>
          </w:p>
        </w:tc>
        <w:tc>
          <w:tcPr>
            <w:tcW w:w="1909" w:type="dxa"/>
            <w:noWrap w:val="0"/>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区卫计局</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682" w:type="dxa"/>
            <w:vMerge w:val="continue"/>
            <w:noWrap w:val="0"/>
            <w:vAlign w:val="top"/>
          </w:tcPr>
          <w:p>
            <w:pPr>
              <w:jc w:val="center"/>
              <w:rPr>
                <w:rFonts w:ascii="仿宋_GB2312" w:hAnsi="仿宋_GB2312" w:eastAsia="仿宋_GB2312" w:cs="仿宋_GB2312"/>
                <w:sz w:val="24"/>
              </w:rPr>
            </w:pPr>
          </w:p>
        </w:tc>
        <w:tc>
          <w:tcPr>
            <w:tcW w:w="900" w:type="dxa"/>
            <w:gridSpan w:val="2"/>
            <w:vMerge w:val="continue"/>
            <w:noWrap w:val="0"/>
            <w:vAlign w:val="top"/>
          </w:tcPr>
          <w:p>
            <w:pPr>
              <w:jc w:val="center"/>
              <w:rPr>
                <w:rFonts w:ascii="仿宋_GB2312" w:hAnsi="仿宋_GB2312" w:eastAsia="仿宋_GB2312" w:cs="仿宋_GB2312"/>
                <w:sz w:val="24"/>
              </w:rPr>
            </w:pPr>
          </w:p>
        </w:tc>
        <w:tc>
          <w:tcPr>
            <w:tcW w:w="859" w:type="dxa"/>
            <w:noWrap w:val="0"/>
            <w:vAlign w:val="center"/>
          </w:tcPr>
          <w:p>
            <w:pPr>
              <w:jc w:val="center"/>
              <w:rPr>
                <w:rFonts w:ascii="宋体" w:hAnsi="宋体" w:eastAsia="宋体" w:cs="宋体"/>
                <w:sz w:val="24"/>
              </w:rPr>
            </w:pPr>
            <w:r>
              <w:rPr>
                <w:rFonts w:hint="eastAsia" w:ascii="宋体" w:hAnsi="宋体" w:eastAsia="宋体" w:cs="宋体"/>
                <w:sz w:val="24"/>
              </w:rPr>
              <w:t>4</w:t>
            </w:r>
          </w:p>
        </w:tc>
        <w:tc>
          <w:tcPr>
            <w:tcW w:w="10105" w:type="dxa"/>
            <w:noWrap w:val="0"/>
            <w:vAlign w:val="top"/>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提供基层医疗卫生机构为居家老年人提供上门服务的能力，加强家庭病床建设，规范为居家老年人提供的医疗和护理服务项目，将符合规定的医疗费用纳入医保支付范围。</w:t>
            </w:r>
          </w:p>
        </w:tc>
        <w:tc>
          <w:tcPr>
            <w:tcW w:w="1909" w:type="dxa"/>
            <w:noWrap w:val="0"/>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区卫计局、</w:t>
            </w:r>
            <w:r>
              <w:rPr>
                <w:rFonts w:hint="eastAsia" w:ascii="仿宋_GB2312" w:hAnsi="仿宋_GB2312" w:eastAsia="仿宋_GB2312" w:cs="仿宋_GB2312"/>
                <w:sz w:val="24"/>
                <w:lang w:eastAsia="zh-CN"/>
              </w:rPr>
              <w:t>民政局、人社局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682" w:type="dxa"/>
            <w:vMerge w:val="continue"/>
            <w:noWrap w:val="0"/>
            <w:vAlign w:val="top"/>
          </w:tcPr>
          <w:p>
            <w:pPr>
              <w:jc w:val="center"/>
              <w:rPr>
                <w:rFonts w:ascii="仿宋_GB2312" w:hAnsi="仿宋_GB2312" w:eastAsia="仿宋_GB2312" w:cs="仿宋_GB2312"/>
                <w:sz w:val="24"/>
              </w:rPr>
            </w:pPr>
          </w:p>
        </w:tc>
        <w:tc>
          <w:tcPr>
            <w:tcW w:w="900" w:type="dxa"/>
            <w:gridSpan w:val="2"/>
            <w:vMerge w:val="restart"/>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（二）提高养老机构医疗服务</w:t>
            </w:r>
            <w:r>
              <w:rPr>
                <w:rFonts w:hint="eastAsia" w:ascii="仿宋_GB2312" w:hAnsi="仿宋_GB2312" w:eastAsia="仿宋_GB2312" w:cs="仿宋_GB2312"/>
                <w:sz w:val="24"/>
                <w:lang w:eastAsia="zh-CN"/>
              </w:rPr>
              <w:t>能力</w:t>
            </w:r>
          </w:p>
        </w:tc>
        <w:tc>
          <w:tcPr>
            <w:tcW w:w="859" w:type="dxa"/>
            <w:noWrap w:val="0"/>
            <w:vAlign w:val="center"/>
          </w:tcPr>
          <w:p>
            <w:pPr>
              <w:jc w:val="center"/>
              <w:rPr>
                <w:rFonts w:ascii="宋体" w:hAnsi="宋体" w:eastAsia="宋体" w:cs="宋体"/>
                <w:sz w:val="24"/>
              </w:rPr>
            </w:pPr>
            <w:r>
              <w:rPr>
                <w:rFonts w:hint="eastAsia" w:ascii="宋体" w:hAnsi="宋体" w:eastAsia="宋体" w:cs="宋体"/>
                <w:sz w:val="24"/>
              </w:rPr>
              <w:t>5</w:t>
            </w:r>
          </w:p>
        </w:tc>
        <w:tc>
          <w:tcPr>
            <w:tcW w:w="10105" w:type="dxa"/>
            <w:noWrap w:val="0"/>
            <w:vAlign w:val="top"/>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支持养老机构开展医疗服务。</w:t>
            </w:r>
            <w:r>
              <w:rPr>
                <w:rFonts w:hint="eastAsia" w:ascii="仿宋_GB2312" w:hAnsi="仿宋_GB2312" w:eastAsia="仿宋_GB2312" w:cs="仿宋_GB2312"/>
                <w:sz w:val="24"/>
              </w:rPr>
              <w:t>养老机构可根据服务需求和自身能力，按相关规定申请开办老年病医院、康复医院、护理院、临终关怀机构等，也可内设医务室或护理站。养老机构设置的医疗机构要符合国家法律法规和卫生计生行政部门有关规定，符合医疗机构基本标准，并按规定由相关部门实施准入和管理，依法依规开展医疗卫生服务。</w:t>
            </w:r>
          </w:p>
        </w:tc>
        <w:tc>
          <w:tcPr>
            <w:tcW w:w="1909" w:type="dxa"/>
            <w:noWrap w:val="0"/>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区</w:t>
            </w:r>
            <w:r>
              <w:rPr>
                <w:rFonts w:hint="eastAsia" w:ascii="仿宋_GB2312" w:hAnsi="仿宋_GB2312" w:eastAsia="仿宋_GB2312" w:cs="仿宋_GB2312"/>
                <w:sz w:val="24"/>
                <w:lang w:eastAsia="zh-CN"/>
              </w:rPr>
              <w:t>卫计局、民政局、人社局</w:t>
            </w:r>
            <w:r>
              <w:rPr>
                <w:rFonts w:hint="eastAsia" w:ascii="仿宋_GB2312" w:hAnsi="仿宋_GB2312" w:eastAsia="仿宋_GB2312" w:cs="仿宋_GB2312"/>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682" w:type="dxa"/>
            <w:vMerge w:val="continue"/>
            <w:noWrap w:val="0"/>
            <w:vAlign w:val="top"/>
          </w:tcPr>
          <w:p>
            <w:pPr>
              <w:rPr>
                <w:rFonts w:ascii="仿宋_GB2312" w:hAnsi="仿宋_GB2312" w:eastAsia="仿宋_GB2312" w:cs="仿宋_GB2312"/>
                <w:sz w:val="24"/>
              </w:rPr>
            </w:pPr>
          </w:p>
        </w:tc>
        <w:tc>
          <w:tcPr>
            <w:tcW w:w="900" w:type="dxa"/>
            <w:gridSpan w:val="2"/>
            <w:vMerge w:val="continue"/>
            <w:noWrap w:val="0"/>
            <w:vAlign w:val="top"/>
          </w:tcPr>
          <w:p>
            <w:pPr>
              <w:rPr>
                <w:rFonts w:ascii="仿宋_GB2312" w:hAnsi="仿宋_GB2312" w:eastAsia="仿宋_GB2312" w:cs="仿宋_GB2312"/>
                <w:sz w:val="24"/>
              </w:rPr>
            </w:pPr>
          </w:p>
        </w:tc>
        <w:tc>
          <w:tcPr>
            <w:tcW w:w="859" w:type="dxa"/>
            <w:noWrap w:val="0"/>
            <w:vAlign w:val="center"/>
          </w:tcPr>
          <w:p>
            <w:pPr>
              <w:jc w:val="center"/>
              <w:rPr>
                <w:rFonts w:ascii="宋体" w:hAnsi="宋体" w:eastAsia="宋体" w:cs="宋体"/>
                <w:sz w:val="24"/>
              </w:rPr>
            </w:pPr>
            <w:r>
              <w:rPr>
                <w:rFonts w:hint="eastAsia" w:ascii="宋体" w:hAnsi="宋体" w:eastAsia="宋体" w:cs="宋体"/>
                <w:sz w:val="24"/>
              </w:rPr>
              <w:t>6</w:t>
            </w:r>
          </w:p>
        </w:tc>
        <w:tc>
          <w:tcPr>
            <w:tcW w:w="10105" w:type="dxa"/>
            <w:noWrap w:val="0"/>
            <w:vAlign w:val="top"/>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鼓励养老机构、居家养老中心与周边的医疗卫生机构开展多种形式的协议合作。建立健全协作机制，本着互利互惠原则</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明确双方责任。有条件的医疗卫生机构为养老机构开通预约就诊绿色通道，确保入住老年人能够得到及时有效的医疗救治。</w:t>
            </w:r>
          </w:p>
        </w:tc>
        <w:tc>
          <w:tcPr>
            <w:tcW w:w="1909" w:type="dxa"/>
            <w:noWrap w:val="0"/>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区</w:t>
            </w:r>
            <w:r>
              <w:rPr>
                <w:rFonts w:hint="eastAsia" w:ascii="仿宋_GB2312" w:hAnsi="仿宋_GB2312" w:eastAsia="仿宋_GB2312" w:cs="仿宋_GB2312"/>
                <w:sz w:val="24"/>
                <w:lang w:eastAsia="zh-CN"/>
              </w:rPr>
              <w:t>卫计</w:t>
            </w:r>
            <w:r>
              <w:rPr>
                <w:rFonts w:hint="eastAsia" w:ascii="仿宋_GB2312" w:hAnsi="仿宋_GB2312" w:eastAsia="仿宋_GB2312" w:cs="仿宋_GB2312"/>
                <w:sz w:val="24"/>
              </w:rPr>
              <w:t>局</w:t>
            </w:r>
            <w:r>
              <w:rPr>
                <w:rFonts w:hint="eastAsia" w:ascii="仿宋_GB2312" w:hAnsi="仿宋_GB2312" w:eastAsia="仿宋_GB2312" w:cs="仿宋_GB2312"/>
                <w:sz w:val="24"/>
                <w:lang w:eastAsia="zh-CN"/>
              </w:rPr>
              <w:t>、民政</w:t>
            </w:r>
            <w:r>
              <w:rPr>
                <w:rFonts w:hint="eastAsia" w:ascii="仿宋_GB2312" w:hAnsi="仿宋_GB2312" w:eastAsia="仿宋_GB2312" w:cs="仿宋_GB2312"/>
                <w:sz w:val="24"/>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682" w:type="dxa"/>
            <w:vMerge w:val="continue"/>
            <w:noWrap w:val="0"/>
            <w:vAlign w:val="top"/>
          </w:tcPr>
          <w:p>
            <w:pPr>
              <w:rPr>
                <w:rFonts w:ascii="仿宋_GB2312" w:hAnsi="仿宋_GB2312" w:eastAsia="仿宋_GB2312" w:cs="仿宋_GB2312"/>
                <w:sz w:val="24"/>
              </w:rPr>
            </w:pPr>
          </w:p>
        </w:tc>
        <w:tc>
          <w:tcPr>
            <w:tcW w:w="900" w:type="dxa"/>
            <w:gridSpan w:val="2"/>
            <w:vMerge w:val="continue"/>
            <w:noWrap w:val="0"/>
            <w:vAlign w:val="top"/>
          </w:tcPr>
          <w:p>
            <w:pPr>
              <w:rPr>
                <w:rFonts w:ascii="仿宋_GB2312" w:hAnsi="仿宋_GB2312" w:eastAsia="仿宋_GB2312" w:cs="仿宋_GB2312"/>
                <w:sz w:val="24"/>
              </w:rPr>
            </w:pPr>
          </w:p>
        </w:tc>
        <w:tc>
          <w:tcPr>
            <w:tcW w:w="859" w:type="dxa"/>
            <w:noWrap w:val="0"/>
            <w:vAlign w:val="center"/>
          </w:tcPr>
          <w:p>
            <w:pPr>
              <w:jc w:val="center"/>
              <w:rPr>
                <w:rFonts w:ascii="宋体" w:hAnsi="宋体" w:eastAsia="宋体" w:cs="宋体"/>
                <w:sz w:val="24"/>
              </w:rPr>
            </w:pPr>
            <w:r>
              <w:rPr>
                <w:rFonts w:hint="eastAsia" w:ascii="宋体" w:hAnsi="宋体" w:eastAsia="宋体" w:cs="宋体"/>
                <w:sz w:val="24"/>
              </w:rPr>
              <w:t>7</w:t>
            </w:r>
          </w:p>
        </w:tc>
        <w:tc>
          <w:tcPr>
            <w:tcW w:w="10105" w:type="dxa"/>
            <w:noWrap w:val="0"/>
            <w:vAlign w:val="top"/>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鼓励执业医师到养老机构设置的医疗机构多点执业，支持有相关专业特长的医师及专业人员在养老机构规范开展疾病预防、营养、中医调理养生等非诊疗行为的健康服务。</w:t>
            </w:r>
          </w:p>
        </w:tc>
        <w:tc>
          <w:tcPr>
            <w:tcW w:w="1909" w:type="dxa"/>
            <w:noWrap w:val="0"/>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区卫计局</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582" w:type="dxa"/>
            <w:gridSpan w:val="3"/>
            <w:noWrap w:val="0"/>
            <w:vAlign w:val="center"/>
          </w:tcPr>
          <w:p>
            <w:pPr>
              <w:jc w:val="center"/>
              <w:rPr>
                <w:rFonts w:ascii="黑体" w:hAnsi="黑体" w:eastAsia="黑体" w:cs="黑体"/>
                <w:sz w:val="24"/>
              </w:rPr>
            </w:pPr>
            <w:r>
              <w:rPr>
                <w:rFonts w:hint="eastAsia" w:ascii="黑体" w:hAnsi="黑体" w:eastAsia="黑体" w:cs="黑体"/>
                <w:sz w:val="24"/>
              </w:rPr>
              <w:t>项目</w:t>
            </w:r>
          </w:p>
        </w:tc>
        <w:tc>
          <w:tcPr>
            <w:tcW w:w="859" w:type="dxa"/>
            <w:noWrap w:val="0"/>
            <w:vAlign w:val="center"/>
          </w:tcPr>
          <w:p>
            <w:pPr>
              <w:jc w:val="center"/>
              <w:rPr>
                <w:rFonts w:ascii="黑体" w:hAnsi="黑体" w:eastAsia="黑体" w:cs="黑体"/>
                <w:sz w:val="24"/>
              </w:rPr>
            </w:pPr>
            <w:r>
              <w:rPr>
                <w:rFonts w:hint="eastAsia" w:ascii="黑体" w:hAnsi="黑体" w:eastAsia="黑体" w:cs="黑体"/>
                <w:sz w:val="24"/>
              </w:rPr>
              <w:t>序号</w:t>
            </w:r>
          </w:p>
        </w:tc>
        <w:tc>
          <w:tcPr>
            <w:tcW w:w="10105" w:type="dxa"/>
            <w:noWrap w:val="0"/>
            <w:vAlign w:val="center"/>
          </w:tcPr>
          <w:p>
            <w:pPr>
              <w:jc w:val="center"/>
              <w:rPr>
                <w:rFonts w:ascii="黑体" w:hAnsi="黑体" w:eastAsia="黑体" w:cs="黑体"/>
                <w:sz w:val="24"/>
              </w:rPr>
            </w:pPr>
            <w:r>
              <w:rPr>
                <w:rFonts w:hint="eastAsia" w:ascii="黑体" w:hAnsi="黑体" w:eastAsia="黑体" w:cs="黑体"/>
                <w:sz w:val="24"/>
              </w:rPr>
              <w:t>具体任务</w:t>
            </w:r>
          </w:p>
        </w:tc>
        <w:tc>
          <w:tcPr>
            <w:tcW w:w="1909" w:type="dxa"/>
            <w:noWrap w:val="0"/>
            <w:vAlign w:val="center"/>
          </w:tcPr>
          <w:p>
            <w:pPr>
              <w:jc w:val="center"/>
              <w:rPr>
                <w:rFonts w:ascii="黑体" w:hAnsi="黑体" w:eastAsia="黑体" w:cs="黑体"/>
                <w:sz w:val="24"/>
              </w:rPr>
            </w:pPr>
            <w:r>
              <w:rPr>
                <w:rFonts w:hint="eastAsia" w:ascii="黑体" w:hAnsi="黑体" w:eastAsia="黑体" w:cs="黑体"/>
                <w:sz w:val="24"/>
              </w:rPr>
              <w:t>负责单位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gridSpan w:val="2"/>
            <w:vMerge w:val="restart"/>
            <w:noWrap w:val="0"/>
            <w:textDirection w:val="tbRlV"/>
            <w:vAlign w:val="top"/>
          </w:tcPr>
          <w:p>
            <w:pPr>
              <w:ind w:left="113" w:right="113"/>
              <w:jc w:val="center"/>
              <w:rPr>
                <w:rFonts w:ascii="仿宋_GB2312" w:hAnsi="仿宋_GB2312" w:eastAsia="仿宋_GB2312" w:cs="仿宋_GB2312"/>
                <w:sz w:val="24"/>
              </w:rPr>
            </w:pPr>
            <w:r>
              <w:rPr>
                <w:rFonts w:hint="eastAsia" w:ascii="仿宋_GB2312" w:hAnsi="仿宋_GB2312" w:eastAsia="仿宋_GB2312" w:cs="仿宋_GB2312"/>
                <w:sz w:val="24"/>
              </w:rPr>
              <w:t>一、重点任务</w:t>
            </w:r>
          </w:p>
        </w:tc>
        <w:tc>
          <w:tcPr>
            <w:tcW w:w="868" w:type="dxa"/>
            <w:vMerge w:val="restart"/>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（三）</w:t>
            </w:r>
          </w:p>
          <w:p>
            <w:pPr>
              <w:jc w:val="center"/>
              <w:rPr>
                <w:rFonts w:ascii="仿宋_GB2312" w:hAnsi="仿宋_GB2312" w:eastAsia="仿宋_GB2312" w:cs="仿宋_GB2312"/>
                <w:sz w:val="24"/>
              </w:rPr>
            </w:pPr>
            <w:r>
              <w:rPr>
                <w:rFonts w:hint="eastAsia" w:ascii="仿宋_GB2312" w:hAnsi="仿宋_GB2312" w:eastAsia="仿宋_GB2312" w:cs="仿宋_GB2312"/>
                <w:sz w:val="24"/>
              </w:rPr>
              <w:t>完善医养结合有关工作机制</w:t>
            </w:r>
          </w:p>
        </w:tc>
        <w:tc>
          <w:tcPr>
            <w:tcW w:w="859" w:type="dxa"/>
            <w:noWrap w:val="0"/>
            <w:vAlign w:val="center"/>
          </w:tcPr>
          <w:p>
            <w:pPr>
              <w:jc w:val="center"/>
              <w:rPr>
                <w:rFonts w:ascii="宋体" w:hAnsi="宋体" w:eastAsia="宋体" w:cs="宋体"/>
                <w:sz w:val="24"/>
              </w:rPr>
            </w:pPr>
            <w:r>
              <w:rPr>
                <w:rFonts w:hint="eastAsia" w:ascii="宋体" w:hAnsi="宋体" w:eastAsia="宋体" w:cs="宋体"/>
                <w:sz w:val="24"/>
              </w:rPr>
              <w:t>8</w:t>
            </w:r>
          </w:p>
        </w:tc>
        <w:tc>
          <w:tcPr>
            <w:tcW w:w="10105" w:type="dxa"/>
            <w:noWrap w:val="0"/>
            <w:vAlign w:val="top"/>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建立医养结合人才队伍培养、储备、使用机制。进一步推进学历教育和职业培养相结合的人才培养模式，通过走出去、引进来的方式，打造教学、办医、养老“三合一”的医养结合服务人才培养基地</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做好职称评定、专业技术培训和继续医学教育等方面的制度衔接，对养老机构和医疗卫生机构中的医务人员同等对待。完善薪酬、职称评定等激励机制，鼓励医护人员到医养结合机构执业。</w:t>
            </w:r>
          </w:p>
        </w:tc>
        <w:tc>
          <w:tcPr>
            <w:tcW w:w="1909" w:type="dxa"/>
            <w:noWrap w:val="0"/>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区人社局，卫计局、民政局、教育局配合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gridSpan w:val="2"/>
            <w:vMerge w:val="continue"/>
            <w:noWrap w:val="0"/>
            <w:vAlign w:val="top"/>
          </w:tcPr>
          <w:p>
            <w:pPr>
              <w:jc w:val="center"/>
              <w:rPr>
                <w:rFonts w:ascii="仿宋_GB2312" w:hAnsi="仿宋_GB2312" w:eastAsia="仿宋_GB2312" w:cs="仿宋_GB2312"/>
                <w:sz w:val="24"/>
              </w:rPr>
            </w:pPr>
          </w:p>
        </w:tc>
        <w:tc>
          <w:tcPr>
            <w:tcW w:w="868" w:type="dxa"/>
            <w:vMerge w:val="continue"/>
            <w:noWrap w:val="0"/>
            <w:vAlign w:val="top"/>
          </w:tcPr>
          <w:p>
            <w:pPr>
              <w:jc w:val="center"/>
              <w:rPr>
                <w:rFonts w:ascii="仿宋_GB2312" w:hAnsi="仿宋_GB2312" w:eastAsia="仿宋_GB2312" w:cs="仿宋_GB2312"/>
                <w:sz w:val="24"/>
              </w:rPr>
            </w:pPr>
          </w:p>
        </w:tc>
        <w:tc>
          <w:tcPr>
            <w:tcW w:w="859" w:type="dxa"/>
            <w:noWrap w:val="0"/>
            <w:vAlign w:val="center"/>
          </w:tcPr>
          <w:p>
            <w:pPr>
              <w:jc w:val="center"/>
              <w:rPr>
                <w:rFonts w:ascii="宋体" w:hAnsi="宋体" w:eastAsia="宋体" w:cs="宋体"/>
                <w:sz w:val="24"/>
              </w:rPr>
            </w:pPr>
            <w:r>
              <w:rPr>
                <w:rFonts w:hint="eastAsia" w:ascii="宋体" w:hAnsi="宋体" w:eastAsia="宋体" w:cs="宋体"/>
                <w:sz w:val="24"/>
              </w:rPr>
              <w:t>9</w:t>
            </w:r>
          </w:p>
        </w:tc>
        <w:tc>
          <w:tcPr>
            <w:tcW w:w="10105" w:type="dxa"/>
            <w:noWrap w:val="0"/>
            <w:vAlign w:val="top"/>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健全养老机构保险机制。对养老机构内设的医疗机构，符合医疗保险定点条件的，可申请纳入定点范围，入住的参保老年人按规定享受相应待遇</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开展长期护理保险制度试点工作，出台政策文件，解决照护服务资金问题，满足老年人照护服务需求。</w:t>
            </w:r>
          </w:p>
        </w:tc>
        <w:tc>
          <w:tcPr>
            <w:tcW w:w="1909" w:type="dxa"/>
            <w:noWrap w:val="0"/>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区人社局</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民政局、卫计局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gridSpan w:val="2"/>
            <w:vMerge w:val="continue"/>
            <w:noWrap w:val="0"/>
            <w:vAlign w:val="top"/>
          </w:tcPr>
          <w:p>
            <w:pPr>
              <w:jc w:val="center"/>
              <w:rPr>
                <w:rFonts w:ascii="仿宋_GB2312" w:hAnsi="仿宋_GB2312" w:eastAsia="仿宋_GB2312" w:cs="仿宋_GB2312"/>
                <w:sz w:val="24"/>
              </w:rPr>
            </w:pPr>
          </w:p>
        </w:tc>
        <w:tc>
          <w:tcPr>
            <w:tcW w:w="868" w:type="dxa"/>
            <w:vMerge w:val="continue"/>
            <w:noWrap w:val="0"/>
            <w:vAlign w:val="top"/>
          </w:tcPr>
          <w:p>
            <w:pPr>
              <w:jc w:val="center"/>
              <w:rPr>
                <w:rFonts w:ascii="仿宋_GB2312" w:hAnsi="仿宋_GB2312" w:eastAsia="仿宋_GB2312" w:cs="仿宋_GB2312"/>
                <w:sz w:val="24"/>
              </w:rPr>
            </w:pPr>
          </w:p>
        </w:tc>
        <w:tc>
          <w:tcPr>
            <w:tcW w:w="859" w:type="dxa"/>
            <w:noWrap w:val="0"/>
            <w:vAlign w:val="center"/>
          </w:tcPr>
          <w:p>
            <w:pPr>
              <w:jc w:val="center"/>
              <w:rPr>
                <w:rFonts w:ascii="宋体" w:hAnsi="宋体" w:eastAsia="宋体" w:cs="宋体"/>
                <w:sz w:val="24"/>
              </w:rPr>
            </w:pPr>
            <w:r>
              <w:rPr>
                <w:rFonts w:hint="eastAsia" w:ascii="宋体" w:hAnsi="宋体" w:eastAsia="宋体" w:cs="宋体"/>
                <w:sz w:val="24"/>
              </w:rPr>
              <w:t>10</w:t>
            </w:r>
          </w:p>
        </w:tc>
        <w:tc>
          <w:tcPr>
            <w:tcW w:w="10105" w:type="dxa"/>
            <w:noWrap w:val="0"/>
            <w:vAlign w:val="top"/>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规范社会资本兴办医养结合机构。在制定养老相关规划时，要给社会力量举办医养结合机构留出空间</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按照“非禁即入”原则，凡符合规划条件和准入资质的，不得以任何理由加以限制</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整合审批环节，明确并缩短审批时限，鼓励有条件的地方提供一站式</w:t>
            </w:r>
            <w:r>
              <w:rPr>
                <w:rFonts w:hint="eastAsia" w:ascii="仿宋_GB2312" w:hAnsi="仿宋_GB2312" w:eastAsia="仿宋_GB2312" w:cs="仿宋_GB2312"/>
                <w:sz w:val="24"/>
                <w:lang w:eastAsia="zh-CN"/>
              </w:rPr>
              <w:t>便捷</w:t>
            </w:r>
            <w:r>
              <w:rPr>
                <w:rFonts w:hint="eastAsia" w:ascii="仿宋_GB2312" w:hAnsi="仿宋_GB2312" w:eastAsia="仿宋_GB2312" w:cs="仿宋_GB2312"/>
                <w:sz w:val="24"/>
              </w:rPr>
              <w:t>服务。</w:t>
            </w:r>
          </w:p>
        </w:tc>
        <w:tc>
          <w:tcPr>
            <w:tcW w:w="1909" w:type="dxa"/>
            <w:noWrap w:val="0"/>
            <w:vAlign w:val="center"/>
          </w:tcPr>
          <w:p>
            <w:pPr>
              <w:rPr>
                <w:rFonts w:ascii="仿宋_GB2312" w:hAnsi="仿宋_GB2312" w:eastAsia="仿宋_GB2312" w:cs="仿宋_GB2312"/>
                <w:sz w:val="24"/>
              </w:rPr>
            </w:pPr>
            <w:r>
              <w:rPr>
                <w:rFonts w:hint="eastAsia" w:ascii="仿宋_GB2312" w:hAnsi="仿宋_GB2312" w:eastAsia="仿宋_GB2312" w:cs="仿宋_GB2312"/>
                <w:sz w:val="24"/>
              </w:rPr>
              <w:t>区卫计局</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gridSpan w:val="2"/>
            <w:vMerge w:val="restart"/>
            <w:noWrap w:val="0"/>
            <w:textDirection w:val="tbLrV"/>
            <w:vAlign w:val="center"/>
          </w:tcPr>
          <w:p>
            <w:pPr>
              <w:ind w:left="113" w:right="113"/>
              <w:jc w:val="center"/>
              <w:rPr>
                <w:rFonts w:ascii="仿宋_GB2312" w:hAnsi="仿宋_GB2312" w:eastAsia="仿宋_GB2312" w:cs="仿宋_GB2312"/>
                <w:sz w:val="24"/>
              </w:rPr>
            </w:pPr>
            <w:r>
              <w:rPr>
                <w:rFonts w:hint="eastAsia" w:ascii="仿宋_GB2312" w:hAnsi="仿宋_GB2312" w:eastAsia="仿宋_GB2312" w:cs="仿宋_GB2312"/>
                <w:sz w:val="24"/>
              </w:rPr>
              <w:t>二、主要做法</w:t>
            </w:r>
          </w:p>
        </w:tc>
        <w:tc>
          <w:tcPr>
            <w:tcW w:w="868" w:type="dxa"/>
            <w:vMerge w:val="restart"/>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（一）</w:t>
            </w:r>
          </w:p>
          <w:p>
            <w:pPr>
              <w:jc w:val="center"/>
              <w:rPr>
                <w:rFonts w:ascii="仿宋_GB2312" w:hAnsi="仿宋_GB2312" w:eastAsia="仿宋_GB2312" w:cs="仿宋_GB2312"/>
                <w:sz w:val="24"/>
              </w:rPr>
            </w:pPr>
            <w:r>
              <w:rPr>
                <w:rFonts w:hint="eastAsia" w:ascii="仿宋_GB2312" w:hAnsi="仿宋_GB2312" w:eastAsia="仿宋_GB2312" w:cs="仿宋_GB2312"/>
                <w:sz w:val="24"/>
              </w:rPr>
              <w:t>实施“三大工程”，引领医养结合发展</w:t>
            </w:r>
          </w:p>
        </w:tc>
        <w:tc>
          <w:tcPr>
            <w:tcW w:w="859" w:type="dxa"/>
            <w:noWrap w:val="0"/>
            <w:vAlign w:val="center"/>
          </w:tcPr>
          <w:p>
            <w:pPr>
              <w:jc w:val="center"/>
              <w:rPr>
                <w:rFonts w:ascii="宋体" w:hAnsi="宋体" w:eastAsia="宋体" w:cs="宋体"/>
                <w:sz w:val="24"/>
              </w:rPr>
            </w:pPr>
            <w:r>
              <w:rPr>
                <w:rFonts w:hint="eastAsia" w:ascii="宋体" w:hAnsi="宋体" w:eastAsia="宋体" w:cs="宋体"/>
                <w:sz w:val="24"/>
              </w:rPr>
              <w:t>11</w:t>
            </w:r>
          </w:p>
        </w:tc>
        <w:tc>
          <w:tcPr>
            <w:tcW w:w="10105" w:type="dxa"/>
            <w:noWrap w:val="0"/>
            <w:vAlign w:val="top"/>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大力推进广州“健康城市”工程建设。推进健康“细胞工程”建设，广泛开展健康社区、健康单位、健康学校、健康家庭工程，将健康理念融入城镇规划，不断改善城乡环境，形成政府领导、多部门配合、全社会参与的工作格局。到2020年，建立一批健康细胞工程，健康管理工作模式基本建立，为广州健康老龄化提供良好的社会环境。</w:t>
            </w:r>
          </w:p>
        </w:tc>
        <w:tc>
          <w:tcPr>
            <w:tcW w:w="1909" w:type="dxa"/>
            <w:noWrap w:val="0"/>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区卫计局</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民政局、教育局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14" w:type="dxa"/>
            <w:gridSpan w:val="2"/>
            <w:vMerge w:val="continue"/>
            <w:noWrap w:val="0"/>
            <w:vAlign w:val="top"/>
          </w:tcPr>
          <w:p>
            <w:pPr>
              <w:jc w:val="center"/>
              <w:rPr>
                <w:rFonts w:ascii="仿宋_GB2312" w:hAnsi="仿宋_GB2312" w:eastAsia="仿宋_GB2312" w:cs="仿宋_GB2312"/>
                <w:sz w:val="24"/>
              </w:rPr>
            </w:pPr>
          </w:p>
        </w:tc>
        <w:tc>
          <w:tcPr>
            <w:tcW w:w="868" w:type="dxa"/>
            <w:vMerge w:val="continue"/>
            <w:noWrap w:val="0"/>
            <w:vAlign w:val="center"/>
          </w:tcPr>
          <w:p>
            <w:pPr>
              <w:jc w:val="center"/>
              <w:rPr>
                <w:rFonts w:ascii="仿宋_GB2312" w:hAnsi="仿宋_GB2312" w:eastAsia="仿宋_GB2312" w:cs="仿宋_GB2312"/>
                <w:sz w:val="24"/>
              </w:rPr>
            </w:pPr>
          </w:p>
        </w:tc>
        <w:tc>
          <w:tcPr>
            <w:tcW w:w="859" w:type="dxa"/>
            <w:noWrap w:val="0"/>
            <w:vAlign w:val="center"/>
          </w:tcPr>
          <w:p>
            <w:pPr>
              <w:jc w:val="center"/>
              <w:rPr>
                <w:rFonts w:ascii="宋体" w:hAnsi="宋体" w:eastAsia="宋体" w:cs="宋体"/>
                <w:sz w:val="24"/>
              </w:rPr>
            </w:pPr>
            <w:r>
              <w:rPr>
                <w:rFonts w:hint="eastAsia" w:ascii="宋体" w:hAnsi="宋体" w:eastAsia="宋体" w:cs="宋体"/>
                <w:sz w:val="24"/>
              </w:rPr>
              <w:t>12</w:t>
            </w:r>
          </w:p>
        </w:tc>
        <w:tc>
          <w:tcPr>
            <w:tcW w:w="10105" w:type="dxa"/>
            <w:noWrap w:val="0"/>
            <w:vAlign w:val="top"/>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构建医疗卫生高地行动计划工程。实施《广州市构建医疗高地行动计划（2016-2018年）》，重点支持建设体现国内先进水平、具有优势学科群的现代化综合医院和特色专科医院，建设高水平临床重点专科，打造健康医疗协同创新平台、临床医学研究及转化创新平台、精准医疗和生物医学创新平台、中医药创新平台、公共卫生创新平台、互联网+医疗创新平台等6大医学科技创新平台，为</w:t>
            </w:r>
            <w:r>
              <w:rPr>
                <w:rFonts w:hint="eastAsia" w:ascii="仿宋_GB2312" w:hAnsi="仿宋_GB2312" w:eastAsia="仿宋_GB2312" w:cs="仿宋_GB2312"/>
                <w:sz w:val="24"/>
                <w:lang w:eastAsia="zh-CN"/>
              </w:rPr>
              <w:t>广州</w:t>
            </w:r>
            <w:r>
              <w:rPr>
                <w:rFonts w:hint="eastAsia" w:ascii="仿宋_GB2312" w:hAnsi="仿宋_GB2312" w:eastAsia="仿宋_GB2312" w:cs="仿宋_GB2312"/>
                <w:sz w:val="24"/>
              </w:rPr>
              <w:t>老年人群体提供高端的医疗卫生服务。</w:t>
            </w:r>
          </w:p>
        </w:tc>
        <w:tc>
          <w:tcPr>
            <w:tcW w:w="1909" w:type="dxa"/>
            <w:noWrap w:val="0"/>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区卫计局</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民政局、政务办</w:t>
            </w:r>
          </w:p>
          <w:p>
            <w:pPr>
              <w:tabs>
                <w:tab w:val="center" w:pos="942"/>
                <w:tab w:val="right" w:pos="1764"/>
              </w:tabs>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gridSpan w:val="2"/>
            <w:vMerge w:val="continue"/>
            <w:noWrap w:val="0"/>
            <w:vAlign w:val="top"/>
          </w:tcPr>
          <w:p>
            <w:pPr>
              <w:rPr>
                <w:rFonts w:ascii="仿宋_GB2312" w:hAnsi="仿宋_GB2312" w:eastAsia="仿宋_GB2312" w:cs="仿宋_GB2312"/>
                <w:sz w:val="24"/>
              </w:rPr>
            </w:pPr>
          </w:p>
        </w:tc>
        <w:tc>
          <w:tcPr>
            <w:tcW w:w="868" w:type="dxa"/>
            <w:vMerge w:val="continue"/>
            <w:noWrap w:val="0"/>
            <w:vAlign w:val="top"/>
          </w:tcPr>
          <w:p>
            <w:pPr>
              <w:rPr>
                <w:rFonts w:ascii="仿宋_GB2312" w:hAnsi="仿宋_GB2312" w:eastAsia="仿宋_GB2312" w:cs="仿宋_GB2312"/>
                <w:sz w:val="24"/>
              </w:rPr>
            </w:pPr>
          </w:p>
        </w:tc>
        <w:tc>
          <w:tcPr>
            <w:tcW w:w="859" w:type="dxa"/>
            <w:noWrap w:val="0"/>
            <w:vAlign w:val="center"/>
          </w:tcPr>
          <w:p>
            <w:pPr>
              <w:jc w:val="center"/>
              <w:rPr>
                <w:rFonts w:ascii="宋体" w:hAnsi="宋体" w:eastAsia="宋体" w:cs="宋体"/>
                <w:sz w:val="24"/>
              </w:rPr>
            </w:pPr>
            <w:r>
              <w:rPr>
                <w:rFonts w:hint="eastAsia" w:ascii="宋体" w:hAnsi="宋体" w:eastAsia="宋体" w:cs="宋体"/>
                <w:sz w:val="24"/>
              </w:rPr>
              <w:t>13</w:t>
            </w:r>
          </w:p>
        </w:tc>
        <w:tc>
          <w:tcPr>
            <w:tcW w:w="10105" w:type="dxa"/>
            <w:noWrap w:val="0"/>
            <w:vAlign w:val="top"/>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推进花都区全民健康信息基础工程建设。整合全员人口数据库、居民电子健康档案数据库、电子病历数据库，构建安全高效稳定的信息网络，实现公共卫生、医疗</w:t>
            </w:r>
            <w:r>
              <w:rPr>
                <w:rFonts w:hint="eastAsia" w:ascii="仿宋_GB2312" w:hAnsi="仿宋_GB2312" w:eastAsia="仿宋_GB2312" w:cs="仿宋_GB2312"/>
                <w:sz w:val="24"/>
                <w:lang w:eastAsia="zh-CN"/>
              </w:rPr>
              <w:t>服务</w:t>
            </w:r>
            <w:r>
              <w:rPr>
                <w:rFonts w:hint="eastAsia" w:ascii="仿宋_GB2312" w:hAnsi="仿宋_GB2312" w:eastAsia="仿宋_GB2312" w:cs="仿宋_GB2312"/>
                <w:sz w:val="24"/>
              </w:rPr>
              <w:t>（含中医药）、计划生育、医疗保障和公共服务</w:t>
            </w:r>
            <w:r>
              <w:rPr>
                <w:rFonts w:hint="eastAsia" w:ascii="仿宋_GB2312" w:hAnsi="仿宋_GB2312" w:eastAsia="仿宋_GB2312" w:cs="仿宋_GB2312"/>
                <w:sz w:val="24"/>
                <w:lang w:eastAsia="zh-CN"/>
              </w:rPr>
              <w:t>五</w:t>
            </w:r>
            <w:r>
              <w:rPr>
                <w:rFonts w:hint="eastAsia" w:ascii="仿宋_GB2312" w:hAnsi="仿宋_GB2312" w:eastAsia="仿宋_GB2312" w:cs="仿宋_GB2312"/>
                <w:sz w:val="24"/>
              </w:rPr>
              <w:t>大业务的信息共享和业务协同。推进医疗健康大数据应用体系建设。以居民电子健康档案、电子病历为基础，深入开展医疗健康大数据应用，强化预防、治疗、康复的精细服务。整合居民健康管理及医疗信息资源，推进“互联网+医养”服务方式，提高居民自我健康管理能力。</w:t>
            </w:r>
          </w:p>
        </w:tc>
        <w:tc>
          <w:tcPr>
            <w:tcW w:w="1909" w:type="dxa"/>
            <w:noWrap w:val="0"/>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区卫计局</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民政局、政务办</w:t>
            </w:r>
          </w:p>
          <w:p>
            <w:pPr>
              <w:jc w:val="center"/>
              <w:rPr>
                <w:rFonts w:ascii="仿宋_GB2312" w:hAnsi="仿宋_GB2312" w:eastAsia="仿宋_GB2312" w:cs="仿宋_GB2312"/>
                <w:sz w:val="24"/>
              </w:rPr>
            </w:pPr>
          </w:p>
        </w:tc>
      </w:tr>
    </w:tbl>
    <w:p>
      <w:pPr>
        <w:jc w:val="center"/>
        <w:rPr>
          <w:rFonts w:ascii="黑体" w:hAnsi="黑体" w:eastAsia="黑体" w:cs="黑体"/>
          <w:sz w:val="24"/>
        </w:rPr>
      </w:pPr>
    </w:p>
    <w:p>
      <w:pPr>
        <w:jc w:val="center"/>
        <w:rPr>
          <w:rFonts w:ascii="黑体" w:hAnsi="黑体" w:eastAsia="黑体" w:cs="黑体"/>
          <w:sz w:val="24"/>
        </w:rPr>
      </w:pPr>
    </w:p>
    <w:tbl>
      <w:tblPr>
        <w:tblStyle w:val="4"/>
        <w:tblpPr w:leftFromText="180" w:rightFromText="180" w:vertAnchor="text" w:horzAnchor="page" w:tblpX="1231" w:tblpY="1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28"/>
        <w:gridCol w:w="831"/>
        <w:gridCol w:w="832"/>
        <w:gridCol w:w="10146"/>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95" w:type="dxa"/>
            <w:gridSpan w:val="3"/>
            <w:noWrap w:val="0"/>
            <w:vAlign w:val="center"/>
          </w:tcPr>
          <w:p>
            <w:pPr>
              <w:jc w:val="center"/>
              <w:rPr>
                <w:rFonts w:ascii="黑体" w:hAnsi="黑体" w:eastAsia="黑体" w:cs="黑体"/>
                <w:sz w:val="24"/>
              </w:rPr>
            </w:pPr>
            <w:r>
              <w:rPr>
                <w:rFonts w:hint="eastAsia" w:ascii="黑体" w:hAnsi="黑体" w:eastAsia="黑体" w:cs="黑体"/>
                <w:sz w:val="24"/>
              </w:rPr>
              <w:t>项目</w:t>
            </w:r>
          </w:p>
        </w:tc>
        <w:tc>
          <w:tcPr>
            <w:tcW w:w="832" w:type="dxa"/>
            <w:noWrap w:val="0"/>
            <w:vAlign w:val="center"/>
          </w:tcPr>
          <w:p>
            <w:pPr>
              <w:jc w:val="center"/>
              <w:rPr>
                <w:rFonts w:ascii="黑体" w:hAnsi="黑体" w:eastAsia="黑体" w:cs="黑体"/>
                <w:sz w:val="24"/>
              </w:rPr>
            </w:pPr>
            <w:r>
              <w:rPr>
                <w:rFonts w:hint="eastAsia" w:ascii="黑体" w:hAnsi="黑体" w:eastAsia="黑体" w:cs="黑体"/>
                <w:sz w:val="24"/>
              </w:rPr>
              <w:t>序号</w:t>
            </w:r>
          </w:p>
        </w:tc>
        <w:tc>
          <w:tcPr>
            <w:tcW w:w="10146" w:type="dxa"/>
            <w:noWrap w:val="0"/>
            <w:vAlign w:val="center"/>
          </w:tcPr>
          <w:p>
            <w:pPr>
              <w:jc w:val="center"/>
              <w:rPr>
                <w:rFonts w:ascii="黑体" w:hAnsi="黑体" w:eastAsia="黑体" w:cs="黑体"/>
                <w:sz w:val="24"/>
              </w:rPr>
            </w:pPr>
            <w:r>
              <w:rPr>
                <w:rFonts w:hint="eastAsia" w:ascii="黑体" w:hAnsi="黑体" w:eastAsia="黑体" w:cs="黑体"/>
                <w:sz w:val="24"/>
              </w:rPr>
              <w:t>具体任务</w:t>
            </w:r>
          </w:p>
        </w:tc>
        <w:tc>
          <w:tcPr>
            <w:tcW w:w="1895" w:type="dxa"/>
            <w:noWrap w:val="0"/>
            <w:vAlign w:val="center"/>
          </w:tcPr>
          <w:p>
            <w:pPr>
              <w:jc w:val="center"/>
              <w:rPr>
                <w:rFonts w:ascii="黑体" w:hAnsi="黑体" w:eastAsia="黑体" w:cs="黑体"/>
                <w:sz w:val="24"/>
              </w:rPr>
            </w:pPr>
            <w:r>
              <w:rPr>
                <w:rFonts w:hint="eastAsia" w:ascii="黑体" w:hAnsi="黑体" w:eastAsia="黑体" w:cs="黑体"/>
                <w:sz w:val="24"/>
              </w:rPr>
              <w:t>负责单位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restart"/>
            <w:noWrap w:val="0"/>
            <w:textDirection w:val="tbRlV"/>
            <w:vAlign w:val="center"/>
          </w:tcPr>
          <w:p>
            <w:pPr>
              <w:ind w:left="113" w:right="113"/>
              <w:jc w:val="center"/>
              <w:rPr>
                <w:rFonts w:ascii="仿宋_GB2312" w:hAnsi="仿宋_GB2312" w:eastAsia="仿宋_GB2312" w:cs="仿宋_GB2312"/>
                <w:sz w:val="24"/>
              </w:rPr>
            </w:pPr>
            <w:r>
              <w:rPr>
                <w:rFonts w:hint="eastAsia" w:ascii="仿宋_GB2312" w:hAnsi="仿宋_GB2312" w:eastAsia="仿宋_GB2312" w:cs="仿宋_GB2312"/>
                <w:sz w:val="24"/>
              </w:rPr>
              <w:t>二、主要做法</w:t>
            </w:r>
          </w:p>
        </w:tc>
        <w:tc>
          <w:tcPr>
            <w:tcW w:w="859" w:type="dxa"/>
            <w:gridSpan w:val="2"/>
            <w:vMerge w:val="restart"/>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（二）</w:t>
            </w:r>
          </w:p>
          <w:p>
            <w:pPr>
              <w:jc w:val="center"/>
              <w:rPr>
                <w:rFonts w:ascii="仿宋_GB2312" w:hAnsi="仿宋_GB2312" w:eastAsia="仿宋_GB2312" w:cs="仿宋_GB2312"/>
                <w:sz w:val="24"/>
              </w:rPr>
            </w:pPr>
            <w:r>
              <w:rPr>
                <w:rFonts w:hint="eastAsia" w:ascii="仿宋_GB2312" w:hAnsi="仿宋_GB2312" w:eastAsia="仿宋_GB2312" w:cs="仿宋_GB2312"/>
                <w:sz w:val="24"/>
              </w:rPr>
              <w:t>细化“四项服务”，力促医养服务扎根民生</w:t>
            </w:r>
          </w:p>
        </w:tc>
        <w:tc>
          <w:tcPr>
            <w:tcW w:w="832" w:type="dxa"/>
            <w:noWrap w:val="0"/>
            <w:vAlign w:val="center"/>
          </w:tcPr>
          <w:p>
            <w:pPr>
              <w:jc w:val="center"/>
              <w:rPr>
                <w:rFonts w:ascii="宋体" w:hAnsi="宋体" w:eastAsia="宋体" w:cs="宋体"/>
                <w:sz w:val="24"/>
              </w:rPr>
            </w:pPr>
            <w:r>
              <w:rPr>
                <w:rFonts w:hint="eastAsia" w:ascii="宋体" w:hAnsi="宋体" w:eastAsia="宋体" w:cs="宋体"/>
                <w:sz w:val="24"/>
              </w:rPr>
              <w:t>14</w:t>
            </w:r>
          </w:p>
        </w:tc>
        <w:tc>
          <w:tcPr>
            <w:tcW w:w="10146" w:type="dxa"/>
            <w:noWrap w:val="0"/>
            <w:vAlign w:val="top"/>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探索老龄人健康养老、优先医疗服务模式。建立健全医疗与养老机构之间的业务协作机制，开通养老机构与医疗机构的预约就诊绿色通道，协同做好老年人慢性病管理、康复护理和疾病诊治等。推动二级以上综合医院与养老机构内设医疗机构等之间的转诊与合作，实现护理床位与养老床位之间的有效衔接。</w:t>
            </w:r>
          </w:p>
        </w:tc>
        <w:tc>
          <w:tcPr>
            <w:tcW w:w="1895" w:type="dxa"/>
            <w:noWrap w:val="0"/>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区卫计局、民政局分别负责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noWrap w:val="0"/>
            <w:vAlign w:val="top"/>
          </w:tcPr>
          <w:p>
            <w:pPr>
              <w:jc w:val="center"/>
              <w:rPr>
                <w:rFonts w:ascii="仿宋_GB2312" w:hAnsi="仿宋_GB2312" w:eastAsia="仿宋_GB2312" w:cs="仿宋_GB2312"/>
                <w:sz w:val="24"/>
              </w:rPr>
            </w:pPr>
          </w:p>
        </w:tc>
        <w:tc>
          <w:tcPr>
            <w:tcW w:w="859" w:type="dxa"/>
            <w:gridSpan w:val="2"/>
            <w:vMerge w:val="continue"/>
            <w:noWrap w:val="0"/>
            <w:vAlign w:val="top"/>
          </w:tcPr>
          <w:p>
            <w:pPr>
              <w:jc w:val="center"/>
              <w:rPr>
                <w:rFonts w:ascii="仿宋_GB2312" w:hAnsi="仿宋_GB2312" w:eastAsia="仿宋_GB2312" w:cs="仿宋_GB2312"/>
                <w:sz w:val="24"/>
              </w:rPr>
            </w:pPr>
          </w:p>
        </w:tc>
        <w:tc>
          <w:tcPr>
            <w:tcW w:w="832" w:type="dxa"/>
            <w:noWrap w:val="0"/>
            <w:vAlign w:val="center"/>
          </w:tcPr>
          <w:p>
            <w:pPr>
              <w:jc w:val="center"/>
              <w:rPr>
                <w:rFonts w:ascii="宋体" w:hAnsi="宋体" w:eastAsia="宋体" w:cs="宋体"/>
                <w:sz w:val="24"/>
              </w:rPr>
            </w:pPr>
            <w:r>
              <w:rPr>
                <w:rFonts w:hint="eastAsia" w:ascii="宋体" w:hAnsi="宋体" w:eastAsia="宋体" w:cs="宋体"/>
                <w:sz w:val="24"/>
              </w:rPr>
              <w:t>15</w:t>
            </w:r>
          </w:p>
        </w:tc>
        <w:tc>
          <w:tcPr>
            <w:tcW w:w="10146" w:type="dxa"/>
            <w:noWrap w:val="0"/>
            <w:vAlign w:val="top"/>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规范社区家庭病床服务。具备提供家庭病床服务资质的基层医疗卫生机构，收治诊断明确、病情稳定、适合在家庭进行检查、治疗和护理等服务的患者。收治的病种范围，由各基层医疗卫生机构根据自身的医疗条件和技术水平确定。基本医疗保险参保人员进行家庭病床治疗发生的基本</w:t>
            </w:r>
            <w:r>
              <w:rPr>
                <w:rFonts w:hint="eastAsia" w:ascii="仿宋_GB2312" w:hAnsi="仿宋_GB2312" w:eastAsia="仿宋_GB2312" w:cs="仿宋_GB2312"/>
                <w:sz w:val="24"/>
                <w:lang w:eastAsia="zh-CN"/>
              </w:rPr>
              <w:t>医疗</w:t>
            </w:r>
            <w:r>
              <w:rPr>
                <w:rFonts w:hint="eastAsia" w:ascii="仿宋_GB2312" w:hAnsi="仿宋_GB2312" w:eastAsia="仿宋_GB2312" w:cs="仿宋_GB2312"/>
                <w:sz w:val="24"/>
              </w:rPr>
              <w:t>费用，由基本医疗保险基金按规定予以支付。</w:t>
            </w:r>
          </w:p>
        </w:tc>
        <w:tc>
          <w:tcPr>
            <w:tcW w:w="1895" w:type="dxa"/>
            <w:noWrap w:val="0"/>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区卫计局</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人社局、民政局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noWrap w:val="0"/>
            <w:vAlign w:val="top"/>
          </w:tcPr>
          <w:p>
            <w:pPr>
              <w:jc w:val="center"/>
              <w:rPr>
                <w:rFonts w:ascii="仿宋_GB2312" w:hAnsi="仿宋_GB2312" w:eastAsia="仿宋_GB2312" w:cs="仿宋_GB2312"/>
                <w:sz w:val="24"/>
              </w:rPr>
            </w:pPr>
          </w:p>
        </w:tc>
        <w:tc>
          <w:tcPr>
            <w:tcW w:w="859" w:type="dxa"/>
            <w:gridSpan w:val="2"/>
            <w:vMerge w:val="continue"/>
            <w:noWrap w:val="0"/>
            <w:vAlign w:val="top"/>
          </w:tcPr>
          <w:p>
            <w:pPr>
              <w:jc w:val="center"/>
              <w:rPr>
                <w:rFonts w:ascii="仿宋_GB2312" w:hAnsi="仿宋_GB2312" w:eastAsia="仿宋_GB2312" w:cs="仿宋_GB2312"/>
                <w:sz w:val="24"/>
              </w:rPr>
            </w:pPr>
          </w:p>
        </w:tc>
        <w:tc>
          <w:tcPr>
            <w:tcW w:w="832" w:type="dxa"/>
            <w:noWrap w:val="0"/>
            <w:vAlign w:val="center"/>
          </w:tcPr>
          <w:p>
            <w:pPr>
              <w:jc w:val="center"/>
              <w:rPr>
                <w:rFonts w:ascii="宋体" w:hAnsi="宋体" w:eastAsia="宋体" w:cs="宋体"/>
                <w:sz w:val="24"/>
              </w:rPr>
            </w:pPr>
            <w:r>
              <w:rPr>
                <w:rFonts w:hint="eastAsia" w:ascii="宋体" w:hAnsi="宋体" w:eastAsia="宋体" w:cs="宋体"/>
                <w:sz w:val="24"/>
              </w:rPr>
              <w:t>16</w:t>
            </w:r>
          </w:p>
        </w:tc>
        <w:tc>
          <w:tcPr>
            <w:tcW w:w="10146" w:type="dxa"/>
            <w:noWrap w:val="0"/>
            <w:vAlign w:val="top"/>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全面推进家庭医生签约服务。根据实际服务能力，优先满足老年人重点人群的签约需求，逐步覆盖全人群。探索签约服务收费，完善签约服务激励约束机制，提高签约服务效率和积极性。2020年，开展家庭医生式服务的城镇基层医疗卫生机构争取达到100%。</w:t>
            </w:r>
          </w:p>
        </w:tc>
        <w:tc>
          <w:tcPr>
            <w:tcW w:w="1895" w:type="dxa"/>
            <w:noWrap w:val="0"/>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区卫计局牵头，民政局配合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Merge w:val="continue"/>
            <w:noWrap w:val="0"/>
            <w:vAlign w:val="top"/>
          </w:tcPr>
          <w:p>
            <w:pPr>
              <w:jc w:val="center"/>
              <w:rPr>
                <w:rFonts w:ascii="仿宋_GB2312" w:hAnsi="仿宋_GB2312" w:eastAsia="仿宋_GB2312" w:cs="仿宋_GB2312"/>
                <w:sz w:val="24"/>
              </w:rPr>
            </w:pPr>
          </w:p>
        </w:tc>
        <w:tc>
          <w:tcPr>
            <w:tcW w:w="859" w:type="dxa"/>
            <w:gridSpan w:val="2"/>
            <w:vMerge w:val="continue"/>
            <w:noWrap w:val="0"/>
            <w:vAlign w:val="top"/>
          </w:tcPr>
          <w:p>
            <w:pPr>
              <w:jc w:val="center"/>
              <w:rPr>
                <w:rFonts w:ascii="仿宋_GB2312" w:hAnsi="仿宋_GB2312" w:eastAsia="仿宋_GB2312" w:cs="仿宋_GB2312"/>
                <w:sz w:val="24"/>
              </w:rPr>
            </w:pPr>
          </w:p>
        </w:tc>
        <w:tc>
          <w:tcPr>
            <w:tcW w:w="832" w:type="dxa"/>
            <w:noWrap w:val="0"/>
            <w:vAlign w:val="center"/>
          </w:tcPr>
          <w:p>
            <w:pPr>
              <w:jc w:val="center"/>
              <w:rPr>
                <w:rFonts w:ascii="宋体" w:hAnsi="宋体" w:eastAsia="宋体" w:cs="宋体"/>
                <w:sz w:val="24"/>
              </w:rPr>
            </w:pPr>
            <w:r>
              <w:rPr>
                <w:rFonts w:hint="eastAsia" w:ascii="宋体" w:hAnsi="宋体" w:eastAsia="宋体" w:cs="宋体"/>
                <w:sz w:val="24"/>
              </w:rPr>
              <w:t>17</w:t>
            </w:r>
          </w:p>
        </w:tc>
        <w:tc>
          <w:tcPr>
            <w:tcW w:w="10146" w:type="dxa"/>
            <w:noWrap w:val="0"/>
            <w:vAlign w:val="top"/>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建立老年人个案管理服务模式。</w:t>
            </w:r>
            <w:r>
              <w:rPr>
                <w:rFonts w:hint="eastAsia" w:ascii="仿宋_GB2312" w:hAnsi="仿宋" w:eastAsia="仿宋_GB2312" w:cs="仿宋"/>
                <w:b w:val="0"/>
                <w:bCs w:val="0"/>
                <w:sz w:val="24"/>
                <w:szCs w:val="24"/>
              </w:rPr>
              <w:t>依托社区卫生服务中心和家庭综合服务中心，由医生、护士、社工作为个案管理员</w:t>
            </w:r>
            <w:r>
              <w:rPr>
                <w:rFonts w:hint="eastAsia" w:ascii="仿宋_GB2312" w:hAnsi="仿宋_GB2312" w:eastAsia="仿宋_GB2312" w:cs="仿宋_GB2312"/>
                <w:b w:val="0"/>
                <w:bCs w:val="0"/>
                <w:sz w:val="24"/>
                <w:szCs w:val="24"/>
              </w:rPr>
              <w:t>，</w:t>
            </w:r>
            <w:r>
              <w:rPr>
                <w:rFonts w:hint="eastAsia" w:ascii="仿宋_GB2312" w:hAnsi="仿宋_GB2312" w:eastAsia="仿宋_GB2312" w:cs="仿宋_GB2312"/>
                <w:sz w:val="24"/>
              </w:rPr>
              <w:t>为需要长期照护服务的老年人提供个案管理服务</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动态监测老年人整体情况，组织各类服务人员机构有序提供各类服务。2020年，个案管理服务覆盖率达到老年人总量4%。</w:t>
            </w:r>
          </w:p>
        </w:tc>
        <w:tc>
          <w:tcPr>
            <w:tcW w:w="1895" w:type="dxa"/>
            <w:noWrap w:val="0"/>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lang w:eastAsia="zh-CN"/>
              </w:rPr>
              <w:t>区卫计局、</w:t>
            </w:r>
            <w:r>
              <w:rPr>
                <w:rFonts w:hint="eastAsia" w:ascii="仿宋_GB2312" w:hAnsi="仿宋_GB2312" w:eastAsia="仿宋_GB2312" w:cs="仿宋_GB2312"/>
                <w:sz w:val="24"/>
              </w:rPr>
              <w:t>民政局</w:t>
            </w:r>
            <w:r>
              <w:rPr>
                <w:rFonts w:hint="eastAsia" w:ascii="仿宋_GB2312" w:hAnsi="仿宋_GB2312" w:eastAsia="仿宋_GB2312" w:cs="仿宋_GB2312"/>
                <w:sz w:val="24"/>
                <w:lang w:eastAsia="zh-CN"/>
              </w:rPr>
              <w:t>、编办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736" w:type="dxa"/>
            <w:vMerge w:val="continue"/>
            <w:noWrap w:val="0"/>
            <w:vAlign w:val="top"/>
          </w:tcPr>
          <w:p>
            <w:pPr>
              <w:jc w:val="center"/>
              <w:rPr>
                <w:rFonts w:ascii="仿宋_GB2312" w:hAnsi="仿宋_GB2312" w:eastAsia="仿宋_GB2312" w:cs="仿宋_GB2312"/>
                <w:sz w:val="24"/>
              </w:rPr>
            </w:pPr>
          </w:p>
        </w:tc>
        <w:tc>
          <w:tcPr>
            <w:tcW w:w="859" w:type="dxa"/>
            <w:gridSpan w:val="2"/>
            <w:vMerge w:val="restart"/>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（三）推进“四大保障”，护航医养产业健康愿景</w:t>
            </w:r>
          </w:p>
        </w:tc>
        <w:tc>
          <w:tcPr>
            <w:tcW w:w="832" w:type="dxa"/>
            <w:noWrap w:val="0"/>
            <w:vAlign w:val="center"/>
          </w:tcPr>
          <w:p>
            <w:pPr>
              <w:jc w:val="center"/>
              <w:rPr>
                <w:rFonts w:ascii="宋体" w:hAnsi="宋体" w:eastAsia="宋体" w:cs="宋体"/>
                <w:sz w:val="24"/>
              </w:rPr>
            </w:pPr>
            <w:r>
              <w:rPr>
                <w:rFonts w:hint="eastAsia" w:ascii="宋体" w:hAnsi="宋体" w:eastAsia="宋体" w:cs="宋体"/>
                <w:sz w:val="24"/>
              </w:rPr>
              <w:t>18</w:t>
            </w:r>
          </w:p>
        </w:tc>
        <w:tc>
          <w:tcPr>
            <w:tcW w:w="10146" w:type="dxa"/>
            <w:noWrap w:val="0"/>
            <w:vAlign w:val="top"/>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推进医养结合组织保障。由</w:t>
            </w:r>
            <w:r>
              <w:rPr>
                <w:rFonts w:hint="eastAsia" w:ascii="仿宋_GB2312" w:hAnsi="仿宋_GB2312" w:eastAsia="仿宋_GB2312" w:cs="仿宋_GB2312"/>
                <w:sz w:val="24"/>
                <w:lang w:eastAsia="zh-CN"/>
              </w:rPr>
              <w:t>卫生计生部门</w:t>
            </w:r>
            <w:r>
              <w:rPr>
                <w:rFonts w:hint="eastAsia" w:ascii="仿宋_GB2312" w:hAnsi="仿宋_GB2312" w:eastAsia="仿宋_GB2312" w:cs="仿宋_GB2312"/>
                <w:sz w:val="24"/>
              </w:rPr>
              <w:t>牵头会</w:t>
            </w:r>
            <w:r>
              <w:rPr>
                <w:rFonts w:hint="eastAsia" w:ascii="仿宋_GB2312" w:hAnsi="仿宋_GB2312" w:eastAsia="仿宋_GB2312" w:cs="仿宋_GB2312"/>
                <w:sz w:val="24"/>
                <w:lang w:eastAsia="zh-CN"/>
              </w:rPr>
              <w:t>民政</w:t>
            </w:r>
            <w:r>
              <w:rPr>
                <w:rFonts w:hint="eastAsia" w:ascii="仿宋_GB2312" w:hAnsi="仿宋_GB2312" w:eastAsia="仿宋_GB2312" w:cs="仿宋_GB2312"/>
                <w:sz w:val="24"/>
              </w:rPr>
              <w:t xml:space="preserve">、人力资源社会保障等部门组建评估机构。制定《花都区老年人照顾需求评定规范》，形成统一的健康评估系统和方法，并依托统一的照顾评估体系构建医养结合的梯度服务序列。 </w:t>
            </w:r>
          </w:p>
        </w:tc>
        <w:tc>
          <w:tcPr>
            <w:tcW w:w="1895" w:type="dxa"/>
            <w:noWrap w:val="0"/>
            <w:vAlign w:val="center"/>
          </w:tcPr>
          <w:p>
            <w:pPr>
              <w:tabs>
                <w:tab w:val="center" w:pos="942"/>
                <w:tab w:val="right" w:pos="1764"/>
              </w:tabs>
              <w:jc w:val="both"/>
              <w:rPr>
                <w:rFonts w:ascii="仿宋_GB2312" w:hAnsi="仿宋_GB2312" w:eastAsia="仿宋_GB2312" w:cs="仿宋_GB2312"/>
                <w:sz w:val="24"/>
              </w:rPr>
            </w:pPr>
            <w:r>
              <w:rPr>
                <w:rFonts w:hint="eastAsia" w:ascii="仿宋_GB2312" w:hAnsi="仿宋_GB2312" w:eastAsia="仿宋_GB2312" w:cs="仿宋_GB2312"/>
                <w:sz w:val="24"/>
                <w:lang w:eastAsia="zh-CN"/>
              </w:rPr>
              <w:t>区卫计局、民政局、人社局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7" w:hRule="atLeast"/>
        </w:trPr>
        <w:tc>
          <w:tcPr>
            <w:tcW w:w="736" w:type="dxa"/>
            <w:vMerge w:val="continue"/>
            <w:noWrap w:val="0"/>
            <w:vAlign w:val="top"/>
          </w:tcPr>
          <w:p>
            <w:pPr>
              <w:rPr>
                <w:rFonts w:ascii="仿宋_GB2312" w:hAnsi="仿宋_GB2312" w:eastAsia="仿宋_GB2312" w:cs="仿宋_GB2312"/>
                <w:sz w:val="24"/>
              </w:rPr>
            </w:pPr>
          </w:p>
        </w:tc>
        <w:tc>
          <w:tcPr>
            <w:tcW w:w="859" w:type="dxa"/>
            <w:gridSpan w:val="2"/>
            <w:vMerge w:val="continue"/>
            <w:noWrap w:val="0"/>
            <w:vAlign w:val="top"/>
          </w:tcPr>
          <w:p>
            <w:pPr>
              <w:rPr>
                <w:rFonts w:ascii="仿宋_GB2312" w:hAnsi="仿宋_GB2312" w:eastAsia="仿宋_GB2312" w:cs="仿宋_GB2312"/>
                <w:sz w:val="24"/>
              </w:rPr>
            </w:pPr>
          </w:p>
        </w:tc>
        <w:tc>
          <w:tcPr>
            <w:tcW w:w="832" w:type="dxa"/>
            <w:noWrap w:val="0"/>
            <w:vAlign w:val="center"/>
          </w:tcPr>
          <w:p>
            <w:pPr>
              <w:jc w:val="center"/>
              <w:rPr>
                <w:rFonts w:ascii="宋体" w:hAnsi="宋体" w:eastAsia="宋体" w:cs="宋体"/>
                <w:sz w:val="24"/>
              </w:rPr>
            </w:pPr>
            <w:r>
              <w:rPr>
                <w:rFonts w:hint="eastAsia" w:ascii="宋体" w:hAnsi="宋体" w:eastAsia="宋体" w:cs="宋体"/>
                <w:sz w:val="24"/>
              </w:rPr>
              <w:t>19</w:t>
            </w:r>
          </w:p>
        </w:tc>
        <w:tc>
          <w:tcPr>
            <w:tcW w:w="10146" w:type="dxa"/>
            <w:noWrap w:val="0"/>
            <w:vAlign w:val="top"/>
          </w:tcPr>
          <w:p>
            <w:pPr>
              <w:ind w:firstLine="480" w:firstLineChars="200"/>
              <w:jc w:val="both"/>
              <w:rPr>
                <w:rFonts w:ascii="仿宋_GB2312" w:hAnsi="仿宋_GB2312" w:eastAsia="仿宋_GB2312" w:cs="仿宋_GB2312"/>
                <w:sz w:val="24"/>
              </w:rPr>
            </w:pPr>
            <w:r>
              <w:rPr>
                <w:rFonts w:hint="eastAsia" w:ascii="仿宋_GB2312" w:hAnsi="仿宋_GB2312" w:eastAsia="仿宋_GB2312" w:cs="仿宋_GB2312"/>
                <w:color w:val="000000"/>
                <w:sz w:val="24"/>
              </w:rPr>
              <w:t>推进养老服务人才保障。依据广州市制定的《关于加强养老服务业人才队伍建设的行动方案》及《广州市扶持高、中等院校养老服务与管理专业健康发展试行办法》，建设医养融合人才服务中心，将养老机构内设</w:t>
            </w:r>
            <w:r>
              <w:rPr>
                <w:rFonts w:hint="eastAsia" w:ascii="仿宋_GB2312" w:hAnsi="仿宋_GB2312" w:eastAsia="仿宋_GB2312" w:cs="仿宋_GB2312"/>
                <w:color w:val="000000"/>
                <w:sz w:val="24"/>
                <w:lang w:eastAsia="zh-CN"/>
              </w:rPr>
              <w:t>医疗机构、</w:t>
            </w:r>
            <w:r>
              <w:rPr>
                <w:rFonts w:hint="eastAsia" w:ascii="仿宋_GB2312" w:hAnsi="仿宋_GB2312" w:eastAsia="仿宋_GB2312" w:cs="仿宋_GB2312"/>
                <w:color w:val="000000"/>
                <w:sz w:val="24"/>
              </w:rPr>
              <w:t>日托机构、社会力量参与的护理点、护理院内的医护人员统筹管理，并提供培训服务；做好职称评定、专业技术培训和继续医学教育等方面的制度衔接，对养老机构和医疗卫生机构中的医务人员同等对待。加强养老服务人才培养，提升养老服务人才工资福利待遇和社会地位。</w:t>
            </w:r>
          </w:p>
        </w:tc>
        <w:tc>
          <w:tcPr>
            <w:tcW w:w="1895" w:type="dxa"/>
            <w:noWrap w:val="0"/>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区民政局</w:t>
            </w:r>
            <w:r>
              <w:rPr>
                <w:rFonts w:hint="eastAsia" w:ascii="仿宋_GB2312" w:hAnsi="仿宋_GB2312" w:eastAsia="仿宋_GB2312" w:cs="仿宋_GB2312"/>
                <w:sz w:val="24"/>
                <w:lang w:eastAsia="zh-CN"/>
              </w:rPr>
              <w:t>、卫计局、</w:t>
            </w:r>
            <w:r>
              <w:rPr>
                <w:rFonts w:hint="eastAsia" w:ascii="仿宋_GB2312" w:hAnsi="仿宋_GB2312" w:eastAsia="仿宋_GB2312" w:cs="仿宋_GB2312"/>
                <w:sz w:val="24"/>
              </w:rPr>
              <w:t>人社局、</w:t>
            </w:r>
            <w:r>
              <w:rPr>
                <w:rFonts w:hint="eastAsia" w:ascii="仿宋_GB2312" w:hAnsi="仿宋_GB2312" w:eastAsia="仿宋_GB2312" w:cs="仿宋_GB2312"/>
                <w:sz w:val="24"/>
                <w:lang w:eastAsia="zh-CN"/>
              </w:rPr>
              <w:t>教育局、</w:t>
            </w:r>
            <w:r>
              <w:rPr>
                <w:rFonts w:hint="eastAsia" w:ascii="仿宋_GB2312" w:hAnsi="仿宋_GB2312" w:eastAsia="仿宋_GB2312" w:cs="仿宋_GB2312"/>
                <w:sz w:val="24"/>
              </w:rPr>
              <w:t>编办</w:t>
            </w:r>
            <w:r>
              <w:rPr>
                <w:rFonts w:hint="eastAsia" w:ascii="仿宋_GB2312" w:hAnsi="仿宋_GB2312" w:eastAsia="仿宋_GB2312" w:cs="仿宋_GB2312"/>
                <w:sz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595" w:type="dxa"/>
            <w:gridSpan w:val="3"/>
            <w:noWrap w:val="0"/>
            <w:vAlign w:val="center"/>
          </w:tcPr>
          <w:p>
            <w:pPr>
              <w:jc w:val="center"/>
              <w:rPr>
                <w:rFonts w:ascii="黑体" w:hAnsi="黑体" w:eastAsia="黑体" w:cs="黑体"/>
                <w:sz w:val="24"/>
              </w:rPr>
            </w:pPr>
            <w:r>
              <w:rPr>
                <w:rFonts w:hint="eastAsia" w:ascii="黑体" w:hAnsi="黑体" w:eastAsia="黑体" w:cs="黑体"/>
                <w:sz w:val="24"/>
              </w:rPr>
              <w:t>项目</w:t>
            </w:r>
          </w:p>
        </w:tc>
        <w:tc>
          <w:tcPr>
            <w:tcW w:w="832" w:type="dxa"/>
            <w:noWrap w:val="0"/>
            <w:vAlign w:val="center"/>
          </w:tcPr>
          <w:p>
            <w:pPr>
              <w:jc w:val="center"/>
              <w:rPr>
                <w:rFonts w:ascii="黑体" w:hAnsi="黑体" w:eastAsia="黑体" w:cs="黑体"/>
                <w:sz w:val="24"/>
              </w:rPr>
            </w:pPr>
            <w:r>
              <w:rPr>
                <w:rFonts w:hint="eastAsia" w:ascii="黑体" w:hAnsi="黑体" w:eastAsia="黑体" w:cs="黑体"/>
                <w:sz w:val="24"/>
              </w:rPr>
              <w:t>序号</w:t>
            </w:r>
          </w:p>
        </w:tc>
        <w:tc>
          <w:tcPr>
            <w:tcW w:w="10146" w:type="dxa"/>
            <w:noWrap w:val="0"/>
            <w:vAlign w:val="center"/>
          </w:tcPr>
          <w:p>
            <w:pPr>
              <w:jc w:val="center"/>
              <w:rPr>
                <w:rFonts w:ascii="黑体" w:hAnsi="黑体" w:eastAsia="黑体" w:cs="黑体"/>
                <w:sz w:val="24"/>
              </w:rPr>
            </w:pPr>
            <w:r>
              <w:rPr>
                <w:rFonts w:hint="eastAsia" w:ascii="黑体" w:hAnsi="黑体" w:eastAsia="黑体" w:cs="黑体"/>
                <w:sz w:val="24"/>
              </w:rPr>
              <w:t>具体任务</w:t>
            </w:r>
          </w:p>
        </w:tc>
        <w:tc>
          <w:tcPr>
            <w:tcW w:w="1895" w:type="dxa"/>
            <w:noWrap w:val="0"/>
            <w:vAlign w:val="center"/>
          </w:tcPr>
          <w:p>
            <w:pPr>
              <w:jc w:val="center"/>
              <w:rPr>
                <w:rFonts w:ascii="黑体" w:hAnsi="黑体" w:eastAsia="黑体" w:cs="黑体"/>
                <w:sz w:val="24"/>
              </w:rPr>
            </w:pPr>
            <w:r>
              <w:rPr>
                <w:rFonts w:hint="eastAsia" w:ascii="黑体" w:hAnsi="黑体" w:eastAsia="黑体" w:cs="黑体"/>
                <w:sz w:val="24"/>
              </w:rPr>
              <w:t>负责单位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gridSpan w:val="2"/>
            <w:vMerge w:val="restart"/>
            <w:noWrap w:val="0"/>
            <w:textDirection w:val="tbLrV"/>
            <w:vAlign w:val="center"/>
          </w:tcPr>
          <w:p>
            <w:pPr>
              <w:ind w:left="113" w:right="113"/>
              <w:jc w:val="center"/>
              <w:rPr>
                <w:rFonts w:ascii="仿宋_GB2312" w:hAnsi="仿宋_GB2312" w:eastAsia="仿宋_GB2312" w:cs="仿宋_GB2312"/>
                <w:sz w:val="24"/>
              </w:rPr>
            </w:pPr>
            <w:r>
              <w:rPr>
                <w:rFonts w:hint="eastAsia" w:ascii="仿宋_GB2312" w:hAnsi="仿宋_GB2312" w:eastAsia="仿宋_GB2312" w:cs="仿宋_GB2312"/>
                <w:sz w:val="24"/>
              </w:rPr>
              <w:t>二、主要做法</w:t>
            </w:r>
          </w:p>
        </w:tc>
        <w:tc>
          <w:tcPr>
            <w:tcW w:w="831" w:type="dxa"/>
            <w:vMerge w:val="restart"/>
            <w:noWrap w:val="0"/>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（三）推进“四大保障”，护航医养产业健康愿景</w:t>
            </w:r>
          </w:p>
        </w:tc>
        <w:tc>
          <w:tcPr>
            <w:tcW w:w="832" w:type="dxa"/>
            <w:noWrap w:val="0"/>
            <w:vAlign w:val="center"/>
          </w:tcPr>
          <w:p>
            <w:pPr>
              <w:jc w:val="center"/>
              <w:rPr>
                <w:rFonts w:ascii="宋体" w:hAnsi="宋体" w:eastAsia="宋体" w:cs="宋体"/>
                <w:sz w:val="24"/>
              </w:rPr>
            </w:pPr>
            <w:r>
              <w:rPr>
                <w:rFonts w:hint="eastAsia" w:ascii="宋体" w:hAnsi="宋体" w:eastAsia="宋体" w:cs="宋体"/>
                <w:sz w:val="24"/>
              </w:rPr>
              <w:t>20</w:t>
            </w:r>
          </w:p>
        </w:tc>
        <w:tc>
          <w:tcPr>
            <w:tcW w:w="10146" w:type="dxa"/>
            <w:noWrap w:val="0"/>
            <w:vAlign w:val="top"/>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推进养老服务政策保障。加强养老服务业立法，</w:t>
            </w:r>
            <w:r>
              <w:rPr>
                <w:rFonts w:hint="eastAsia" w:ascii="仿宋_GB2312" w:hAnsi="仿宋_GB2312" w:eastAsia="仿宋_GB2312" w:cs="仿宋_GB2312"/>
                <w:sz w:val="24"/>
                <w:lang w:eastAsia="zh-CN"/>
              </w:rPr>
              <w:t>依据</w:t>
            </w:r>
            <w:r>
              <w:rPr>
                <w:rFonts w:hint="eastAsia" w:ascii="仿宋_GB2312" w:hAnsi="仿宋_GB2312" w:eastAsia="仿宋_GB2312" w:cs="仿宋_GB2312"/>
                <w:sz w:val="24"/>
              </w:rPr>
              <w:t>《广州市养老服务条例》</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扩大居家养老政府购买服务范围，提高购买服务标准</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建立健全的医养服务支付保障机制，建立长期护理保险制度，将符合医疗保险定点条件的养老机构内设的医疗机构纳入定点范围。依据《关于深化社会居家养老服务改革的实施意见》及《广州市社区居家养老服务管理办法》等配套文件,规范社会化医护服务参与养老服务、社区康复、护理服务准入条件和行业标准。</w:t>
            </w:r>
          </w:p>
        </w:tc>
        <w:tc>
          <w:tcPr>
            <w:tcW w:w="1895" w:type="dxa"/>
            <w:noWrap w:val="0"/>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区民政局</w:t>
            </w:r>
            <w:r>
              <w:rPr>
                <w:rFonts w:hint="eastAsia" w:ascii="仿宋_GB2312" w:hAnsi="仿宋_GB2312" w:eastAsia="仿宋_GB2312" w:cs="仿宋_GB2312"/>
                <w:sz w:val="24"/>
                <w:lang w:eastAsia="zh-CN"/>
              </w:rPr>
              <w:t>、卫计局、</w:t>
            </w:r>
            <w:r>
              <w:rPr>
                <w:rFonts w:hint="eastAsia" w:ascii="仿宋_GB2312" w:hAnsi="仿宋_GB2312" w:eastAsia="仿宋_GB2312" w:cs="仿宋_GB2312"/>
                <w:sz w:val="24"/>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764" w:type="dxa"/>
            <w:gridSpan w:val="2"/>
            <w:vMerge w:val="continue"/>
            <w:noWrap w:val="0"/>
            <w:vAlign w:val="top"/>
          </w:tcPr>
          <w:p>
            <w:pPr>
              <w:jc w:val="center"/>
              <w:rPr>
                <w:rFonts w:ascii="仿宋_GB2312" w:hAnsi="仿宋_GB2312" w:eastAsia="仿宋_GB2312" w:cs="仿宋_GB2312"/>
                <w:sz w:val="24"/>
              </w:rPr>
            </w:pPr>
          </w:p>
        </w:tc>
        <w:tc>
          <w:tcPr>
            <w:tcW w:w="831" w:type="dxa"/>
            <w:vMerge w:val="continue"/>
            <w:noWrap w:val="0"/>
            <w:vAlign w:val="top"/>
          </w:tcPr>
          <w:p>
            <w:pPr>
              <w:jc w:val="center"/>
              <w:rPr>
                <w:rFonts w:ascii="仿宋_GB2312" w:hAnsi="仿宋_GB2312" w:eastAsia="仿宋_GB2312" w:cs="仿宋_GB2312"/>
                <w:sz w:val="24"/>
              </w:rPr>
            </w:pPr>
          </w:p>
        </w:tc>
        <w:tc>
          <w:tcPr>
            <w:tcW w:w="832" w:type="dxa"/>
            <w:noWrap w:val="0"/>
            <w:vAlign w:val="center"/>
          </w:tcPr>
          <w:p>
            <w:pPr>
              <w:jc w:val="center"/>
              <w:rPr>
                <w:rFonts w:ascii="宋体" w:hAnsi="宋体" w:eastAsia="宋体" w:cs="宋体"/>
                <w:sz w:val="24"/>
              </w:rPr>
            </w:pPr>
            <w:r>
              <w:rPr>
                <w:rFonts w:hint="eastAsia" w:ascii="宋体" w:hAnsi="宋体" w:eastAsia="宋体" w:cs="宋体"/>
                <w:sz w:val="24"/>
              </w:rPr>
              <w:t>21</w:t>
            </w:r>
          </w:p>
        </w:tc>
        <w:tc>
          <w:tcPr>
            <w:tcW w:w="10146" w:type="dxa"/>
            <w:noWrap w:val="0"/>
            <w:vAlign w:val="top"/>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推进医养结合机构规划土地保障。</w:t>
            </w:r>
            <w:r>
              <w:rPr>
                <w:rFonts w:hint="eastAsia" w:ascii="仿宋_GB2312" w:hAnsi="仿宋_GB2312" w:eastAsia="仿宋_GB2312" w:cs="仿宋_GB2312"/>
                <w:sz w:val="24"/>
                <w:lang w:eastAsia="zh-CN"/>
              </w:rPr>
              <w:t>依据《广州市养老服务机构设施布局规划（</w:t>
            </w:r>
            <w:r>
              <w:rPr>
                <w:rFonts w:hint="eastAsia" w:ascii="仿宋_GB2312" w:hAnsi="仿宋_GB2312" w:eastAsia="仿宋_GB2312" w:cs="仿宋_GB2312"/>
                <w:sz w:val="24"/>
                <w:lang w:val="en-US" w:eastAsia="zh-CN"/>
              </w:rPr>
              <w:t>2013-2020年</w:t>
            </w:r>
            <w:r>
              <w:rPr>
                <w:rFonts w:hint="eastAsia" w:ascii="仿宋_GB2312" w:hAnsi="仿宋_GB2312" w:eastAsia="仿宋_GB2312" w:cs="仿宋_GB2312"/>
                <w:sz w:val="24"/>
                <w:lang w:eastAsia="zh-CN"/>
              </w:rPr>
              <w:t>）设施方案》，</w:t>
            </w:r>
            <w:r>
              <w:rPr>
                <w:rFonts w:hint="eastAsia" w:ascii="仿宋_GB2312" w:hAnsi="仿宋_GB2312" w:eastAsia="仿宋_GB2312" w:cs="仿宋_GB2312"/>
                <w:sz w:val="24"/>
              </w:rPr>
              <w:t>按照“一地一策”原则，结合花都实际，稳步推进，分步实施。落实《广州市社区公共服务设施设置标准》，新建城区和居住区养老服务设施按每千人4.5张床位的标准配套建设老年人福利院</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养老院）、日间照料中心以及老年人活动站点；老城区和已建成居住（小）区无养老服务设施或现有设施没有达到规划和建设指标要求的，加快就通过购置、置换、租赁等方式开辟养老服务设施。</w:t>
            </w:r>
          </w:p>
        </w:tc>
        <w:tc>
          <w:tcPr>
            <w:tcW w:w="1895" w:type="dxa"/>
            <w:noWrap w:val="0"/>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区民政局</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国规局</w:t>
            </w:r>
          </w:p>
        </w:tc>
      </w:tr>
    </w:tbl>
    <w:p>
      <w:pPr>
        <w:jc w:val="center"/>
        <w:rPr>
          <w:rFonts w:ascii="黑体" w:hAnsi="黑体" w:eastAsia="黑体" w:cs="黑体"/>
          <w:sz w:val="24"/>
        </w:rPr>
        <w:sectPr>
          <w:pgSz w:w="16838" w:h="11906" w:orient="landscape"/>
          <w:pgMar w:top="907" w:right="1803" w:bottom="454" w:left="1474" w:header="851" w:footer="992" w:gutter="0"/>
          <w:pgNumType w:fmt="numberInDash" w:chapStyle="1"/>
          <w:cols w:space="720" w:num="1"/>
          <w:rtlGutter w:val="0"/>
          <w:docGrid w:type="lines" w:linePitch="341" w:charSpace="0"/>
        </w:sectPr>
      </w:pPr>
      <w:bookmarkStart w:id="0" w:name="_GoBack"/>
      <w:bookmarkEnd w:id="0"/>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66DDE"/>
    <w:rsid w:val="4A266D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2020-11-27T09:20:00Z</dcterms:created>
  <dc:creator>萧大虾☆★ぁ</dc:creator>
  <cp:lastModifiedBy>萧大虾☆★ぁ</cp:lastModifiedBy>
  <dcterms:modified xsi:type="dcterms:W3CDTF">2020-11-27T09:22:23Z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