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40" w:rightChars="-162"/>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关于广州市花都区2023年度第六十批次城镇建设用地（G07-HS01地块二期）</w:t>
      </w:r>
    </w:p>
    <w:p>
      <w:pPr>
        <w:spacing w:line="560" w:lineRule="exact"/>
        <w:ind w:right="-340" w:rightChars="-162"/>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的征地补偿安置方案</w:t>
      </w:r>
    </w:p>
    <w:p>
      <w:pPr>
        <w:spacing w:line="560" w:lineRule="exact"/>
        <w:ind w:right="-199" w:rightChars="-95"/>
        <w:jc w:val="center"/>
        <w:rPr>
          <w:rFonts w:ascii="Times New Roman" w:hAnsi="Times New Roman" w:eastAsia="方正小标宋简体" w:cs="Times New Roman"/>
          <w:sz w:val="44"/>
          <w:szCs w:val="44"/>
        </w:rPr>
      </w:pPr>
    </w:p>
    <w:p>
      <w:pPr>
        <w:spacing w:line="560" w:lineRule="exact"/>
        <w:ind w:firstLine="640" w:firstLineChars="200"/>
        <w:rPr>
          <w:rFonts w:ascii="Times New Roman" w:hAnsi="Times New Roman" w:eastAsia="仿宋_GB2312" w:cs="Times New Roman"/>
          <w:sz w:val="32"/>
          <w:szCs w:val="32"/>
          <w:rPrChange w:id="0" w:author="陈志毅" w:date="2023-09-22T09:49:44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 w:author="陈志毅" w:date="2023-09-22T09:49:44Z">
            <w:rPr>
              <w:rFonts w:hint="eastAsia" w:ascii="仿宋_GB2312" w:hAnsi="仿宋_GB2312" w:eastAsia="仿宋_GB2312" w:cs="仿宋_GB2312"/>
              <w:sz w:val="32"/>
              <w:szCs w:val="32"/>
            </w:rPr>
          </w:rPrChange>
        </w:rPr>
        <w:t>为实施广州市花都区花山镇建设规划，完善城市功能，改善城市环境，促进经济、文化发展，广州市花都区人民政府拟征收花都区花山镇两龙村北社经济合作社，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 洛场村第七经济合作社（共有），两龙村杨兴经济合作社，两龙村张庄经济合作社，洛场村第六经济合作社属下的集体土地</w:t>
      </w:r>
      <w:r>
        <w:rPr>
          <w:rFonts w:ascii="Times New Roman" w:hAnsi="Times New Roman" w:eastAsia="仿宋_GB2312" w:cs="Times New Roman"/>
          <w:sz w:val="32"/>
          <w:szCs w:val="32"/>
        </w:rPr>
        <w:t>10.1363</w:t>
      </w:r>
      <w:r>
        <w:rPr>
          <w:rFonts w:hint="default" w:ascii="Times New Roman" w:hAnsi="Times New Roman" w:eastAsia="仿宋_GB2312" w:cs="Times New Roman"/>
          <w:sz w:val="32"/>
          <w:szCs w:val="32"/>
          <w:rPrChange w:id="2" w:author="陈志毅" w:date="2023-09-22T09:49:44Z">
            <w:rPr>
              <w:rFonts w:hint="eastAsia" w:ascii="仿宋_GB2312" w:hAnsi="仿宋_GB2312" w:eastAsia="仿宋_GB2312" w:cs="仿宋_GB2312"/>
              <w:sz w:val="32"/>
              <w:szCs w:val="32"/>
            </w:rPr>
          </w:rPrChange>
        </w:rPr>
        <w:t>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Times New Roman" w:hAnsi="Times New Roman" w:eastAsia="黑体" w:cs="Times New Roman"/>
          <w:sz w:val="32"/>
          <w:szCs w:val="32"/>
          <w:rPrChange w:id="3" w:author="陈志毅" w:date="2023-09-22T09:49:44Z">
            <w:rPr>
              <w:rFonts w:ascii="黑体" w:hAnsi="黑体" w:eastAsia="黑体" w:cs="黑体"/>
              <w:sz w:val="32"/>
              <w:szCs w:val="32"/>
            </w:rPr>
          </w:rPrChange>
        </w:rPr>
      </w:pPr>
      <w:r>
        <w:rPr>
          <w:rFonts w:hint="default" w:ascii="Times New Roman" w:hAnsi="Times New Roman" w:eastAsia="黑体" w:cs="Times New Roman"/>
          <w:bCs/>
          <w:sz w:val="32"/>
          <w:szCs w:val="32"/>
          <w:rPrChange w:id="4" w:author="陈志毅" w:date="2023-09-22T09:49:44Z">
            <w:rPr>
              <w:rFonts w:hint="eastAsia" w:ascii="黑体" w:hAnsi="黑体" w:eastAsia="黑体" w:cs="黑体"/>
              <w:bCs/>
              <w:sz w:val="32"/>
              <w:szCs w:val="32"/>
            </w:rPr>
          </w:rPrChange>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w:t>
      </w:r>
      <w:r>
        <w:rPr>
          <w:rFonts w:ascii="Times New Roman" w:hAnsi="Times New Roman" w:eastAsia="仿宋_GB2312" w:cs="Times New Roman"/>
          <w:bCs/>
          <w:sz w:val="32"/>
          <w:szCs w:val="32"/>
        </w:rPr>
        <w:t>市</w:t>
      </w:r>
      <w:r>
        <w:rPr>
          <w:rFonts w:hint="default" w:ascii="Times New Roman" w:hAnsi="Times New Roman" w:eastAsia="仿宋_GB2312" w:cs="Times New Roman"/>
          <w:sz w:val="32"/>
          <w:szCs w:val="32"/>
          <w:rPrChange w:id="5" w:author="陈志毅" w:date="2023-09-22T09:49:44Z">
            <w:rPr>
              <w:rFonts w:hint="eastAsia" w:ascii="仿宋_GB2312" w:hAnsi="仿宋_GB2312" w:eastAsia="仿宋_GB2312" w:cs="仿宋_GB2312"/>
              <w:sz w:val="32"/>
              <w:szCs w:val="32"/>
            </w:rPr>
          </w:rPrChange>
        </w:rPr>
        <w:t>花都区花山镇两龙村北社经济合作社，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洛场村第七经济合作社（共有），两龙村杨兴经济合作社，两龙村张庄经济合作社，洛场村第六经济合作社</w:t>
      </w:r>
      <w:r>
        <w:rPr>
          <w:rFonts w:hint="eastAsia" w:ascii="Times New Roman" w:hAnsi="Times New Roman" w:eastAsia="仿宋_GB2312" w:cs="Times New Roman"/>
          <w:bCs/>
          <w:sz w:val="32"/>
          <w:szCs w:val="32"/>
        </w:rPr>
        <w:t>范围内。</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Change w:id="6" w:author="陈志毅" w:date="2023-09-22T09:49:44Z">
            <w:rPr>
              <w:rFonts w:ascii="黑体" w:hAnsi="黑体" w:eastAsia="黑体" w:cs="黑体"/>
              <w:sz w:val="32"/>
              <w:szCs w:val="32"/>
            </w:rPr>
          </w:rPrChange>
        </w:rPr>
      </w:pPr>
      <w:r>
        <w:rPr>
          <w:rFonts w:hint="default" w:ascii="Times New Roman" w:hAnsi="Times New Roman" w:eastAsia="黑体" w:cs="Times New Roman"/>
          <w:sz w:val="32"/>
          <w:szCs w:val="32"/>
          <w:rPrChange w:id="7" w:author="陈志毅" w:date="2023-09-22T09:49:44Z">
            <w:rPr>
              <w:rFonts w:hint="eastAsia" w:ascii="黑体" w:hAnsi="黑体" w:eastAsia="黑体" w:cs="黑体"/>
              <w:sz w:val="32"/>
              <w:szCs w:val="32"/>
            </w:rPr>
          </w:rPrChange>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pPr>
        <w:numPr>
          <w:ilvl w:val="255"/>
          <w:numId w:val="0"/>
        </w:numPr>
        <w:spacing w:line="560" w:lineRule="exact"/>
        <w:ind w:firstLine="640" w:firstLineChars="200"/>
        <w:rPr>
          <w:rFonts w:ascii="Times New Roman" w:hAnsi="Times New Roman" w:eastAsia="黑体" w:cs="Times New Roman"/>
          <w:sz w:val="32"/>
          <w:szCs w:val="32"/>
          <w:rPrChange w:id="8" w:author="陈志毅" w:date="2023-09-22T09:49:44Z">
            <w:rPr>
              <w:rFonts w:ascii="黑体" w:hAnsi="黑体" w:eastAsia="黑体" w:cs="黑体"/>
              <w:sz w:val="32"/>
              <w:szCs w:val="32"/>
            </w:rPr>
          </w:rPrChange>
        </w:rPr>
      </w:pPr>
      <w:r>
        <w:rPr>
          <w:rFonts w:hint="default" w:ascii="Times New Roman" w:hAnsi="Times New Roman" w:eastAsia="黑体" w:cs="Times New Roman"/>
          <w:sz w:val="32"/>
          <w:szCs w:val="32"/>
          <w:rPrChange w:id="9" w:author="陈志毅" w:date="2023-09-22T09:49:44Z">
            <w:rPr>
              <w:rFonts w:hint="eastAsia" w:ascii="黑体" w:hAnsi="黑体" w:eastAsia="黑体" w:cs="黑体"/>
              <w:sz w:val="32"/>
              <w:szCs w:val="32"/>
            </w:rPr>
          </w:rPrChange>
        </w:rPr>
        <w:t>三、土地现状</w:t>
      </w:r>
    </w:p>
    <w:p>
      <w:pPr>
        <w:numPr>
          <w:ilvl w:val="255"/>
          <w:numId w:val="0"/>
        </w:numPr>
        <w:spacing w:line="560" w:lineRule="exact"/>
        <w:ind w:firstLine="640" w:firstLineChars="200"/>
        <w:rPr>
          <w:rFonts w:ascii="Times New Roman" w:hAnsi="Times New Roman" w:eastAsia="仿宋_GB2312" w:cs="Times New Roman"/>
          <w:sz w:val="32"/>
          <w:szCs w:val="32"/>
          <w:rPrChange w:id="10" w:author="陈志毅" w:date="2023-09-22T09:49:44Z">
            <w:rPr>
              <w:rFonts w:ascii="仿宋_GB2312" w:hAnsi="仿宋_GB2312" w:eastAsia="仿宋_GB2312" w:cs="仿宋_GB2312"/>
              <w:sz w:val="32"/>
              <w:szCs w:val="32"/>
            </w:rPr>
          </w:rPrChange>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ind w:firstLine="640" w:firstLineChars="200"/>
        <w:rPr>
          <w:rFonts w:ascii="Times New Roman" w:hAnsi="Times New Roman" w:eastAsia="仿宋_GB2312" w:cs="Times New Roman"/>
          <w:sz w:val="32"/>
          <w:szCs w:val="32"/>
          <w:rPrChange w:id="11" w:author="陈志毅" w:date="2023-09-22T09:49:44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2" w:author="陈志毅" w:date="2023-09-22T09:49:44Z">
            <w:rPr>
              <w:rFonts w:hint="eastAsia" w:ascii="仿宋_GB2312" w:hAnsi="仿宋_GB2312" w:eastAsia="仿宋_GB2312" w:cs="仿宋_GB2312"/>
              <w:sz w:val="32"/>
              <w:szCs w:val="32"/>
            </w:rPr>
          </w:rPrChange>
        </w:rPr>
        <w:t>拟征收花山镇两龙村北社经济合作社，两龙村东坑第二经济合作社，两龙村东坑第二经济合作社、两龙村东坑第一经济合作社、两龙村南社经济合作社、两龙村张庄经济合作社（共有），两龙村东坑第一经济合作社，两龙村东社经济合作社，两龙村经济联合社，两龙村太记经济合作社、洛场村第七经济合作社（共有），两龙村杨兴经济合作社，两龙村张庄经济合作社，洛场村第六经济合作社</w:t>
      </w:r>
      <w:r>
        <w:rPr>
          <w:rFonts w:ascii="Times New Roman" w:hAnsi="Times New Roman" w:eastAsia="仿宋_GB2312" w:cs="Times New Roman"/>
          <w:sz w:val="32"/>
          <w:szCs w:val="32"/>
        </w:rPr>
        <w:t>集体所有土地10.1363公顷（152.0445亩）。其中农用地9.6945公顷（145.4175亩），涉及耕地</w:t>
      </w:r>
      <w:r>
        <w:rPr>
          <w:rFonts w:hint="eastAsia" w:ascii="Times New Roman" w:hAnsi="Times New Roman" w:eastAsia="仿宋_GB2312" w:cs="Times New Roman"/>
          <w:sz w:val="32"/>
          <w:szCs w:val="32"/>
        </w:rPr>
        <w:t>0.2908公顷（4.3620亩）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建设用地</w:t>
      </w:r>
      <w:r>
        <w:rPr>
          <w:rFonts w:ascii="Times New Roman" w:hAnsi="Times New Roman" w:eastAsia="仿宋_GB2312" w:cs="Times New Roman"/>
          <w:sz w:val="32"/>
          <w:szCs w:val="32"/>
        </w:rPr>
        <w:t>0.4418公顷（6.6270亩），不涉及未利用地。</w:t>
      </w:r>
    </w:p>
    <w:p>
      <w:pPr>
        <w:numPr>
          <w:ilvl w:val="255"/>
          <w:numId w:val="0"/>
        </w:numPr>
        <w:spacing w:line="560" w:lineRule="exact"/>
        <w:ind w:firstLine="640" w:firstLineChars="200"/>
        <w:rPr>
          <w:rFonts w:ascii="Times New Roman" w:hAnsi="Times New Roman" w:eastAsia="仿宋_GB2312" w:cs="Times New Roman"/>
          <w:sz w:val="32"/>
          <w:szCs w:val="32"/>
          <w:rPrChange w:id="13" w:author="陈志毅" w:date="2023-09-22T09:49:44Z">
            <w:rPr>
              <w:rFonts w:ascii="仿宋_GB2312" w:hAnsi="仿宋_GB2312" w:eastAsia="仿宋_GB2312" w:cs="仿宋_GB2312"/>
              <w:sz w:val="32"/>
              <w:szCs w:val="32"/>
            </w:rPr>
          </w:rPrChange>
        </w:rPr>
      </w:pPr>
      <w:r>
        <w:rPr>
          <w:rFonts w:hint="default" w:ascii="Times New Roman" w:hAnsi="Times New Roman" w:eastAsia="黑体" w:cs="Times New Roman"/>
          <w:sz w:val="32"/>
          <w:szCs w:val="32"/>
          <w:rPrChange w:id="14" w:author="陈志毅" w:date="2023-09-22T09:49:44Z">
            <w:rPr>
              <w:rFonts w:hint="eastAsia" w:ascii="黑体" w:hAnsi="黑体" w:eastAsia="黑体" w:cs="黑体"/>
              <w:sz w:val="32"/>
              <w:szCs w:val="32"/>
            </w:rPr>
          </w:rPrChange>
        </w:rPr>
        <w:t>四、补偿方式和标准</w:t>
      </w:r>
    </w:p>
    <w:p>
      <w:pPr>
        <w:numPr>
          <w:ilvl w:val="255"/>
          <w:numId w:val="0"/>
        </w:numPr>
        <w:spacing w:line="560" w:lineRule="exact"/>
        <w:ind w:firstLine="640"/>
        <w:rPr>
          <w:rFonts w:ascii="Times New Roman" w:hAnsi="Times New Roman" w:eastAsia="仿宋_GB2312" w:cs="Times New Roman"/>
          <w:sz w:val="32"/>
          <w:szCs w:val="32"/>
          <w:rPrChange w:id="15" w:author="陈志毅" w:date="2023-09-22T09:49:44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16" w:author="陈志毅" w:date="2023-09-22T09:49:44Z">
            <w:rPr>
              <w:rFonts w:hint="eastAsia" w:ascii="仿宋_GB2312" w:hAnsi="仿宋_GB2312" w:eastAsia="仿宋_GB2312" w:cs="仿宋_GB2312"/>
              <w:sz w:val="32"/>
              <w:szCs w:val="32"/>
            </w:rPr>
          </w:rPrChange>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Change w:id="17" w:author="陈志毅" w:date="2023-09-22T09:49:44Z">
            <w:rPr>
              <w:rFonts w:hint="eastAsia" w:ascii="仿宋_GB2312" w:hAnsi="仿宋_GB2312" w:eastAsia="仿宋_GB2312" w:cs="仿宋_GB2312"/>
              <w:sz w:val="32"/>
              <w:szCs w:val="32"/>
            </w:rPr>
          </w:rPrChange>
        </w:rPr>
        <w:t>根据</w:t>
      </w:r>
      <w:r>
        <w:rPr>
          <w:rFonts w:ascii="Times New Roman" w:hAnsi="Times New Roman" w:eastAsia="仿宋_GB2312" w:cs="Times New Roman"/>
          <w:sz w:val="32"/>
          <w:szCs w:val="32"/>
        </w:rPr>
        <w:t>《广东省自然资源厅关于广州市征收农用地区片综合地价成果的批复》（粤自然资函〔2021〕196号）的规定，农用地土地补偿标准为97.5万元/公顷，安置补助标准为97.5万元/公顷。建设用地和未利用地土地补偿标准为195万/公顷。</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（二）农村村民住宅补偿</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本次征地不涉及农村农民住宅补偿。</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（三）青苗及其他地上附着物补偿</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青苗及其他地上附着物补偿参照《广州市花都区人民政府办公室印发花都区片区征地包干补偿工作方案的通知》（花府办〔2016〕12号）的规定执行。</w:t>
      </w:r>
    </w:p>
    <w:p>
      <w:pPr>
        <w:numPr>
          <w:ilvl w:val="255"/>
          <w:numId w:val="0"/>
        </w:numPr>
        <w:spacing w:line="560" w:lineRule="exact"/>
        <w:ind w:firstLine="640" w:firstLineChars="200"/>
        <w:rPr>
          <w:rFonts w:ascii="Times New Roman" w:hAnsi="Times New Roman" w:eastAsia="仿宋_GB2312" w:cs="Times New Roman"/>
          <w:sz w:val="32"/>
          <w:szCs w:val="32"/>
          <w:rPrChange w:id="18" w:author="陈志毅" w:date="2023-09-22T09:49:44Z">
            <w:rPr>
              <w:rFonts w:ascii="仿宋_GB2312" w:hAnsi="仿宋_GB2312" w:eastAsia="仿宋_GB2312" w:cs="仿宋_GB2312"/>
              <w:sz w:val="32"/>
              <w:szCs w:val="32"/>
            </w:rPr>
          </w:rPrChange>
        </w:rPr>
      </w:pPr>
      <w:r>
        <w:rPr>
          <w:rFonts w:hint="default" w:ascii="Times New Roman" w:hAnsi="Times New Roman" w:eastAsia="黑体" w:cs="Times New Roman"/>
          <w:sz w:val="32"/>
          <w:szCs w:val="32"/>
          <w:rPrChange w:id="19" w:author="陈志毅" w:date="2023-09-22T09:49:44Z">
            <w:rPr>
              <w:rFonts w:hint="eastAsia" w:ascii="黑体" w:hAnsi="黑体" w:eastAsia="黑体" w:cs="黑体"/>
              <w:sz w:val="32"/>
              <w:szCs w:val="32"/>
            </w:rPr>
          </w:rPrChang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Change w:id="20" w:author="陈志毅" w:date="2023-09-22T09:49:44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1" w:author="陈志毅" w:date="2023-09-22T09:49:44Z">
            <w:rPr>
              <w:rFonts w:hint="eastAsia" w:ascii="仿宋_GB2312" w:hAnsi="仿宋_GB2312" w:eastAsia="仿宋_GB2312" w:cs="仿宋_GB2312"/>
              <w:sz w:val="32"/>
              <w:szCs w:val="32"/>
            </w:rPr>
          </w:rPrChange>
        </w:rPr>
        <w:t>享有农村集体土地承包权的农户，家庭承包的土地被政府依法统一征收的，其征地安置补偿方案制定时属于农村集</w:t>
      </w:r>
      <w:r>
        <w:rPr>
          <w:rFonts w:ascii="Times New Roman" w:hAnsi="Times New Roman" w:eastAsia="仿宋_GB2312" w:cs="Times New Roman"/>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rPrChange w:id="22" w:author="陈志毅" w:date="2023-09-22T09:49:44Z">
            <w:rPr>
              <w:rFonts w:ascii="仿宋_GB2312" w:hAnsi="仿宋_GB2312" w:eastAsia="仿宋_GB2312" w:cs="仿宋_GB2312"/>
              <w:sz w:val="32"/>
              <w:szCs w:val="32"/>
            </w:rPr>
          </w:rPrChange>
        </w:rPr>
      </w:pPr>
      <w:r>
        <w:rPr>
          <w:rFonts w:hint="default" w:ascii="Times New Roman" w:hAnsi="Times New Roman" w:eastAsia="黑体" w:cs="Times New Roman"/>
          <w:sz w:val="32"/>
          <w:szCs w:val="32"/>
          <w:rPrChange w:id="23" w:author="陈志毅" w:date="2023-09-22T09:49:44Z">
            <w:rPr>
              <w:rFonts w:hint="eastAsia" w:ascii="黑体" w:hAnsi="黑体" w:eastAsia="黑体" w:cs="黑体"/>
              <w:sz w:val="32"/>
              <w:szCs w:val="32"/>
            </w:rPr>
          </w:rPrChange>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rPrChange w:id="24" w:author="陈志毅" w:date="2023-09-22T09:49:44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5" w:author="陈志毅" w:date="2023-09-22T09:49:44Z">
            <w:rPr>
              <w:rFonts w:hint="eastAsia" w:ascii="仿宋_GB2312" w:hAnsi="仿宋_GB2312" w:eastAsia="仿宋_GB2312" w:cs="仿宋_GB2312"/>
              <w:sz w:val="32"/>
              <w:szCs w:val="32"/>
            </w:rPr>
          </w:rPrChange>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rPrChange w:id="26" w:author="陈志毅" w:date="2023-09-22T09:49:44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7" w:author="陈志毅" w:date="2023-09-22T09:49:44Z">
            <w:rPr>
              <w:rFonts w:hint="eastAsia" w:ascii="仿宋_GB2312" w:hAnsi="仿宋_GB2312" w:eastAsia="仿宋_GB2312" w:cs="仿宋_GB2312"/>
              <w:sz w:val="32"/>
              <w:szCs w:val="32"/>
            </w:rPr>
          </w:rPrChange>
        </w:rPr>
        <w:t>（二）留用地安置。根据《广东省人民政府办公厅关于加强征收农村集体土地留用地安置管理工作的意见》（粤府</w:t>
      </w:r>
      <w:r>
        <w:rPr>
          <w:rFonts w:ascii="Times New Roman" w:hAnsi="Times New Roman" w:eastAsia="仿宋_GB2312" w:cs="Times New Roman"/>
          <w:sz w:val="32"/>
          <w:szCs w:val="32"/>
        </w:rPr>
        <w:t>办〔2016〕30号）、《广州市人民政府办公厅关于进一步加强征收农村集体土地留用地管理的意见》（穗府办规〔2018〕17号）相关规定，按实际征</w:t>
      </w:r>
      <w:r>
        <w:rPr>
          <w:rFonts w:hint="default" w:ascii="Times New Roman" w:hAnsi="Times New Roman" w:eastAsia="仿宋_GB2312" w:cs="Times New Roman"/>
          <w:sz w:val="32"/>
          <w:szCs w:val="32"/>
          <w:rPrChange w:id="28" w:author="陈志毅" w:date="2023-09-22T09:49:44Z">
            <w:rPr>
              <w:rFonts w:hint="eastAsia" w:ascii="仿宋_GB2312" w:hAnsi="仿宋_GB2312" w:eastAsia="仿宋_GB2312" w:cs="仿宋_GB2312"/>
              <w:sz w:val="32"/>
              <w:szCs w:val="32"/>
            </w:rPr>
          </w:rPrChange>
        </w:rPr>
        <w:t>收土地面积的</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Change w:id="29" w:author="陈志毅" w:date="2023-09-22T09:49:44Z">
            <w:rPr>
              <w:rFonts w:hint="eastAsia" w:ascii="仿宋_GB2312" w:hAnsi="仿宋_GB2312" w:eastAsia="仿宋_GB2312" w:cs="仿宋_GB2312"/>
              <w:sz w:val="32"/>
              <w:szCs w:val="32"/>
            </w:rPr>
          </w:rPrChange>
        </w:rPr>
        <w:t>安排留用地，留用地兑现方式为实物留地。</w:t>
      </w:r>
    </w:p>
    <w:p>
      <w:pPr>
        <w:numPr>
          <w:ilvl w:val="255"/>
          <w:numId w:val="0"/>
        </w:numPr>
        <w:spacing w:line="560" w:lineRule="exact"/>
        <w:ind w:firstLine="640" w:firstLineChars="200"/>
        <w:rPr>
          <w:rFonts w:ascii="Times New Roman" w:hAnsi="Times New Roman" w:eastAsia="仿宋_GB2312" w:cs="Times New Roman"/>
          <w:sz w:val="32"/>
          <w:szCs w:val="32"/>
          <w:rPrChange w:id="30" w:author="陈志毅" w:date="2023-09-22T09:49:44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31" w:author="陈志毅" w:date="2023-09-22T09:49:44Z">
            <w:rPr>
              <w:rFonts w:hint="eastAsia" w:ascii="仿宋_GB2312" w:hAnsi="仿宋_GB2312" w:eastAsia="仿宋_GB2312" w:cs="仿宋_GB2312"/>
              <w:sz w:val="32"/>
              <w:szCs w:val="32"/>
            </w:rPr>
          </w:rPrChange>
        </w:rPr>
        <w:t>（三）社会保障费用。根据《广东省人民政府办公厅转发省人力资源社会保障厅关于进一步完善我省被征地农民养老保障</w:t>
      </w:r>
      <w:r>
        <w:rPr>
          <w:rFonts w:ascii="Times New Roman" w:hAnsi="Times New Roman" w:eastAsia="仿宋_GB2312" w:cs="Times New Roman"/>
          <w:sz w:val="32"/>
          <w:szCs w:val="32"/>
        </w:rPr>
        <w:t>政策意见的通知》（粤府办〔2021〕22号）规定，核定该项目按2.14万元/亩的标准一次性将集体被征地农民养老保障资金存入“收缴被征地农民养老保障资金过渡户”，费用合计325.44万元，专款用于被征地农民缴纳养老保险费用。征地批准文件批复的实际范围有变</w:t>
      </w:r>
      <w:r>
        <w:rPr>
          <w:rFonts w:hint="default" w:ascii="Times New Roman" w:hAnsi="Times New Roman" w:eastAsia="仿宋_GB2312" w:cs="Times New Roman"/>
          <w:sz w:val="32"/>
          <w:szCs w:val="32"/>
          <w:rPrChange w:id="32" w:author="陈志毅" w:date="2023-09-22T09:49:44Z">
            <w:rPr>
              <w:rFonts w:hint="eastAsia" w:ascii="仿宋_GB2312" w:hAnsi="仿宋_GB2312" w:eastAsia="仿宋_GB2312" w:cs="仿宋_GB2312"/>
              <w:sz w:val="32"/>
              <w:szCs w:val="32"/>
            </w:rPr>
          </w:rPrChange>
        </w:rPr>
        <w:t>化的，</w:t>
      </w:r>
      <w:r>
        <w:rPr>
          <w:rFonts w:hint="default" w:ascii="Times New Roman" w:hAnsi="Times New Roman" w:eastAsia="仿宋_GB2312" w:cs="Times New Roman"/>
          <w:bCs/>
          <w:sz w:val="32"/>
          <w:szCs w:val="32"/>
          <w:rPrChange w:id="33" w:author="陈志毅" w:date="2023-09-22T09:49:44Z">
            <w:rPr>
              <w:rFonts w:hint="eastAsia" w:ascii="仿宋_GB2312" w:hAnsi="仿宋_GB2312" w:eastAsia="仿宋_GB2312" w:cs="仿宋_GB2312"/>
              <w:bCs/>
              <w:sz w:val="32"/>
              <w:szCs w:val="32"/>
            </w:rPr>
          </w:rPrChange>
        </w:rPr>
        <w:t>费用将做相应调整。</w:t>
      </w:r>
    </w:p>
    <w:p>
      <w:pPr>
        <w:numPr>
          <w:ilvl w:val="255"/>
          <w:numId w:val="0"/>
        </w:numPr>
        <w:spacing w:line="560" w:lineRule="exact"/>
        <w:ind w:firstLine="640" w:firstLineChars="200"/>
        <w:rPr>
          <w:rFonts w:ascii="Times New Roman" w:hAnsi="Times New Roman" w:eastAsia="仿宋_GB2312" w:cs="Times New Roman"/>
          <w:sz w:val="32"/>
          <w:szCs w:val="32"/>
          <w:rPrChange w:id="34" w:author="陈志毅" w:date="2023-09-22T09:49:44Z">
            <w:rPr>
              <w:rFonts w:ascii="仿宋_GB2312" w:hAnsi="仿宋_GB2312" w:eastAsia="仿宋_GB2312" w:cs="仿宋_GB2312"/>
              <w:sz w:val="32"/>
              <w:szCs w:val="32"/>
            </w:rPr>
          </w:rPrChange>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广州市规划和自然资源局花都区分局</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2023年9月</w:t>
      </w:r>
      <w:del w:id="35" w:author="NTKO" w:date="2023-09-22T16:49:40Z">
        <w:r>
          <w:rPr>
            <w:rFonts w:hint="default" w:ascii="Times New Roman" w:hAnsi="Times New Roman" w:eastAsia="仿宋_GB2312" w:cs="Times New Roman"/>
            <w:sz w:val="32"/>
            <w:szCs w:val="32"/>
            <w:lang w:val="en-US"/>
          </w:rPr>
          <w:delText xml:space="preserve"> </w:delText>
        </w:r>
      </w:del>
      <w:del w:id="36" w:author="NTKO" w:date="2023-09-22T16:49:40Z">
        <w:r>
          <w:rPr>
            <w:rFonts w:ascii="Times New Roman" w:hAnsi="Times New Roman" w:eastAsia="仿宋_GB2312" w:cs="Times New Roman"/>
            <w:sz w:val="32"/>
            <w:szCs w:val="32"/>
            <w:rPrChange w:id="37" w:author="陈志毅" w:date="2023-09-22T09:49:44Z">
              <w:rPr>
                <w:rFonts w:ascii="仿宋_GB2312" w:hAnsi="仿宋_GB2312" w:eastAsia="仿宋_GB2312" w:cs="仿宋_GB2312"/>
                <w:sz w:val="32"/>
                <w:szCs w:val="32"/>
              </w:rPr>
            </w:rPrChange>
          </w:rPr>
          <w:delText xml:space="preserve"> </w:delText>
        </w:r>
      </w:del>
      <w:ins w:id="39" w:author="NTKO" w:date="2023-09-22T16:49:40Z">
        <w:r>
          <w:rPr>
            <w:rFonts w:hint="eastAsia" w:ascii="Times New Roman" w:hAnsi="Times New Roman" w:eastAsia="仿宋_GB2312" w:cs="Times New Roman"/>
            <w:sz w:val="32"/>
            <w:szCs w:val="32"/>
            <w:lang w:val="en-US" w:eastAsia="zh-CN"/>
          </w:rPr>
          <w:t>19</w:t>
        </w:r>
      </w:ins>
      <w:bookmarkStart w:id="0" w:name="_GoBack"/>
      <w:bookmarkEnd w:id="0"/>
      <w:r>
        <w:rPr>
          <w:rFonts w:hint="default" w:ascii="Times New Roman" w:hAnsi="Times New Roman" w:eastAsia="仿宋_GB2312" w:cs="Times New Roman"/>
          <w:sz w:val="32"/>
          <w:szCs w:val="32"/>
          <w:rPrChange w:id="40" w:author="陈志毅" w:date="2023-09-22T09:49:44Z">
            <w:rPr>
              <w:rFonts w:hint="eastAsia" w:ascii="仿宋_GB2312" w:hAnsi="仿宋_GB2312" w:eastAsia="仿宋_GB2312" w:cs="仿宋_GB2312"/>
              <w:sz w:val="32"/>
              <w:szCs w:val="32"/>
            </w:rPr>
          </w:rPrChange>
        </w:rPr>
        <w:t>日</w:t>
      </w:r>
    </w:p>
    <w:p>
      <w:pPr>
        <w:spacing w:line="560" w:lineRule="exact"/>
        <w:rPr>
          <w:rFonts w:ascii="Times New Roman" w:hAnsi="Times New Roman" w:cs="Times New Roman"/>
          <w:rPrChange w:id="42" w:author="陈志毅" w:date="2023-09-22T09:49:44Z">
            <w:rPr/>
          </w:rPrChange>
        </w:rPr>
        <w:pPrChange w:id="41" w:author="陈志毅" w:date="2023-09-22T09:49:42Z">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志毅">
    <w15:presenceInfo w15:providerId="None" w15:userId="陈志毅"/>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55"/>
    <w:rsid w:val="00006C10"/>
    <w:rsid w:val="00025C6C"/>
    <w:rsid w:val="0003119D"/>
    <w:rsid w:val="0016149F"/>
    <w:rsid w:val="001B02B5"/>
    <w:rsid w:val="001B41C3"/>
    <w:rsid w:val="00200876"/>
    <w:rsid w:val="002558D2"/>
    <w:rsid w:val="002746BC"/>
    <w:rsid w:val="002A7F57"/>
    <w:rsid w:val="002D24AF"/>
    <w:rsid w:val="00303EBB"/>
    <w:rsid w:val="003421ED"/>
    <w:rsid w:val="0037240A"/>
    <w:rsid w:val="003E5D8F"/>
    <w:rsid w:val="004567EC"/>
    <w:rsid w:val="00471C4D"/>
    <w:rsid w:val="00482A36"/>
    <w:rsid w:val="00562D9B"/>
    <w:rsid w:val="005E3502"/>
    <w:rsid w:val="00615B01"/>
    <w:rsid w:val="00687A28"/>
    <w:rsid w:val="006C2C8D"/>
    <w:rsid w:val="00707784"/>
    <w:rsid w:val="00707DF8"/>
    <w:rsid w:val="007A32A8"/>
    <w:rsid w:val="0080466B"/>
    <w:rsid w:val="00822C1E"/>
    <w:rsid w:val="00834212"/>
    <w:rsid w:val="00874704"/>
    <w:rsid w:val="008951E3"/>
    <w:rsid w:val="00895815"/>
    <w:rsid w:val="008A5569"/>
    <w:rsid w:val="008C5537"/>
    <w:rsid w:val="008C6900"/>
    <w:rsid w:val="008D3AFC"/>
    <w:rsid w:val="00910818"/>
    <w:rsid w:val="00955FAC"/>
    <w:rsid w:val="0099068B"/>
    <w:rsid w:val="009E7B2E"/>
    <w:rsid w:val="00A23864"/>
    <w:rsid w:val="00A33F9C"/>
    <w:rsid w:val="00A87F64"/>
    <w:rsid w:val="00B94E7C"/>
    <w:rsid w:val="00BC45EA"/>
    <w:rsid w:val="00C1627A"/>
    <w:rsid w:val="00C3037F"/>
    <w:rsid w:val="00C8227E"/>
    <w:rsid w:val="00C84599"/>
    <w:rsid w:val="00D118A4"/>
    <w:rsid w:val="00D45C15"/>
    <w:rsid w:val="00D61A55"/>
    <w:rsid w:val="00D84AC2"/>
    <w:rsid w:val="00D969F6"/>
    <w:rsid w:val="00DB3F68"/>
    <w:rsid w:val="00DB5EA5"/>
    <w:rsid w:val="00DF291D"/>
    <w:rsid w:val="00E24AFD"/>
    <w:rsid w:val="00EB5E1D"/>
    <w:rsid w:val="00EC5CF8"/>
    <w:rsid w:val="00ED4FBF"/>
    <w:rsid w:val="00F03DB5"/>
    <w:rsid w:val="00F56BF2"/>
    <w:rsid w:val="00F83BF8"/>
    <w:rsid w:val="00F936B6"/>
    <w:rsid w:val="00FB77D9"/>
    <w:rsid w:val="03903A31"/>
    <w:rsid w:val="34E729B6"/>
    <w:rsid w:val="62A46487"/>
    <w:rsid w:val="7C37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Words>
  <Characters>1646</Characters>
  <Lines>13</Lines>
  <Paragraphs>3</Paragraphs>
  <TotalTime>490</TotalTime>
  <ScaleCrop>false</ScaleCrop>
  <LinksUpToDate>false</LinksUpToDate>
  <CharactersWithSpaces>1931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2023-06-29T09:28:00Z</dcterms:created>
  <dc:creator>cled</dc:creator>
  <cp:lastModifiedBy>NTKO</cp:lastModifiedBy>
  <dcterms:modified xsi:type="dcterms:W3CDTF">2023-09-22T08:49:42Z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5C224C15CEF742D3A1D82F0C9C2B51E7</vt:lpwstr>
  </property>
</Properties>
</file>