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Change w:id="0" w:author="陈志毅" w:date="2023-09-11T17:05:16Z">
          <w:pPr>
            <w:spacing w:line="560" w:lineRule="exact"/>
            <w:jc w:val="center"/>
          </w:pPr>
        </w:pPrChange>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京港澳高速公路粤境清远佛冈至广州太和段改扩建项目（花都段）</w:t>
      </w:r>
      <w:r>
        <w:rPr>
          <w:rFonts w:ascii="Times New Roman" w:hAnsi="Times New Roman" w:eastAsia="方正小标宋简体" w:cs="Times New Roman"/>
          <w:sz w:val="44"/>
          <w:szCs w:val="44"/>
        </w:rPr>
        <w:t>的征地</w:t>
      </w:r>
    </w:p>
    <w:p>
      <w:pPr>
        <w:spacing w:line="560" w:lineRule="exact"/>
        <w:jc w:val="center"/>
        <w:rPr>
          <w:rFonts w:ascii="Times New Roman" w:hAnsi="Times New Roman" w:eastAsia="方正小标宋简体" w:cs="Times New Roman"/>
          <w:sz w:val="44"/>
          <w:szCs w:val="44"/>
        </w:rPr>
        <w:pPrChange w:id="1" w:author="陈志毅" w:date="2023-09-11T17:05:16Z">
          <w:pPr>
            <w:spacing w:line="560" w:lineRule="exact"/>
            <w:jc w:val="center"/>
          </w:pPr>
        </w:pPrChange>
      </w:pPr>
      <w:r>
        <w:rPr>
          <w:rFonts w:ascii="Times New Roman" w:hAnsi="Times New Roman" w:eastAsia="方正小标宋简体" w:cs="Times New Roman"/>
          <w:sz w:val="44"/>
          <w:szCs w:val="44"/>
        </w:rPr>
        <w:t>补偿安置方案</w:t>
      </w:r>
    </w:p>
    <w:p>
      <w:pPr>
        <w:spacing w:line="560" w:lineRule="exact"/>
        <w:ind w:firstLine="640" w:firstLineChars="200"/>
        <w:rPr>
          <w:rFonts w:ascii="Times New Roman" w:hAnsi="Times New Roman" w:eastAsia="仿宋_GB2312" w:cs="Times New Roman"/>
          <w:sz w:val="32"/>
          <w:szCs w:val="32"/>
        </w:rPr>
        <w:pPrChange w:id="2" w:author="陈志毅" w:date="2023-09-11T17:05:16Z">
          <w:pPr>
            <w:spacing w:line="560" w:lineRule="exact"/>
            <w:ind w:firstLine="640" w:firstLineChars="200"/>
          </w:pPr>
        </w:pPrChange>
      </w:pPr>
    </w:p>
    <w:p>
      <w:pPr>
        <w:spacing w:line="560" w:lineRule="exact"/>
        <w:ind w:firstLine="640" w:firstLineChars="200"/>
        <w:rPr>
          <w:rFonts w:ascii="Times New Roman" w:hAnsi="Times New Roman" w:eastAsia="仿宋_GB2312" w:cs="Times New Roman"/>
          <w:sz w:val="32"/>
          <w:szCs w:val="32"/>
        </w:rPr>
        <w:pPrChange w:id="3" w:author="陈志毅" w:date="2023-09-11T17:05:16Z">
          <w:pPr>
            <w:spacing w:line="560" w:lineRule="exact"/>
            <w:ind w:firstLine="640" w:firstLineChars="200"/>
          </w:pPr>
        </w:pPrChange>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w:t>
      </w:r>
      <w:r>
        <w:rPr>
          <w:rFonts w:hint="eastAsia" w:ascii="Times New Roman" w:hAnsi="Times New Roman" w:eastAsia="仿宋_GB2312" w:cs="Times New Roman"/>
          <w:sz w:val="32"/>
        </w:rPr>
        <w:t>东</w:t>
      </w:r>
      <w:r>
        <w:rPr>
          <w:rFonts w:ascii="Times New Roman" w:hAnsi="Times New Roman" w:eastAsia="仿宋_GB2312" w:cs="Times New Roman"/>
          <w:sz w:val="32"/>
        </w:rPr>
        <w:t>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r>
        <w:rPr>
          <w:rFonts w:ascii="Times New Roman" w:hAnsi="Times New Roman" w:eastAsia="仿宋_GB2312" w:cs="Times New Roman"/>
          <w:sz w:val="32"/>
        </w:rPr>
        <w:t>花</w:t>
      </w:r>
      <w:r>
        <w:rPr>
          <w:rFonts w:hint="eastAsia" w:ascii="Times New Roman" w:hAnsi="Times New Roman" w:eastAsia="仿宋_GB2312" w:cs="Times New Roman"/>
          <w:sz w:val="32"/>
        </w:rPr>
        <w:t>东</w:t>
      </w:r>
      <w:r>
        <w:rPr>
          <w:rFonts w:ascii="Times New Roman" w:hAnsi="Times New Roman" w:eastAsia="仿宋_GB2312" w:cs="Times New Roman"/>
          <w:sz w:val="32"/>
        </w:rPr>
        <w:t>镇</w:t>
      </w:r>
      <w:r>
        <w:rPr>
          <w:rFonts w:hint="eastAsia" w:ascii="Times New Roman" w:hAnsi="Times New Roman" w:eastAsia="仿宋_GB2312" w:cs="Times New Roman"/>
          <w:sz w:val="32"/>
        </w:rPr>
        <w:t>北兴村第二经济合作社，第一经济合作社；大龙村第四经济合作社，</w:t>
      </w:r>
      <w:r>
        <w:rPr>
          <w:rFonts w:hint="eastAsia" w:ascii="Times New Roman" w:hAnsi="Times New Roman" w:eastAsia="仿宋_GB2312" w:cs="Times New Roman"/>
          <w:sz w:val="32"/>
          <w:szCs w:val="32"/>
        </w:rPr>
        <w:t>第三经济合作社，第三经济合作社、第四经济合作社（共有），第一经济合作社、第二经济合作社（共有），第一经济合作社，第一经济合作社、第三经济合作社、第二经济合作社、第四经济合作社（共有），第二经济合作社；鸿鹤经济联合社；京塘经济联合社，京塘村第一经济合作社、第二经济合作社、第四经济合作社（共有），第一经济合作社，第三经济合作社，第六经济合作社，第七经济合作社，第二经济合作社，第五经济合作社，第四经济合作社，第一经济合作社、第七经济合作社、第三经济合作社、第二经济合作社、第五经济合作社、第六经济合作社、第四经济合作社（共有），第八经济合作社，第五经济合作社、第六经济合作社、第四经济合作社（共有），第四经济合作社、第五经济合作社（共有），第二经济合作社、第三经济合作社（共有）；望顶村第一经济合作社、第七经济合作社、第三经济合作社、第二经济合作社、第四经济合作社（共有），第七经济合作社、第二经济合作社（共有），第七经济合作社，第一经济合作社，第三经济合作社，第四经济合作社；杨一经济联合社、杨三经济联合社、杨二经济联合社（共有）；镇东村第一经济合作社，第二经济合作社，第三经济合作社，第一经济合作社、第三经济合作社、第二经济合作社、第五经济合作社、第四经济合作社（共有），第五经济合作社，第四经济合作社</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27.4157</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黑体" w:cs="Times New Roman"/>
          <w:sz w:val="32"/>
          <w:szCs w:val="32"/>
        </w:rPr>
        <w:pPrChange w:id="4" w:author="陈志毅" w:date="2023-09-11T17:05:16Z">
          <w:pPr>
            <w:numPr>
              <w:ilvl w:val="255"/>
              <w:numId w:val="0"/>
            </w:numPr>
            <w:spacing w:line="560" w:lineRule="exact"/>
            <w:ind w:firstLine="640" w:firstLineChars="200"/>
          </w:pPr>
        </w:pPrChange>
      </w:pPr>
      <w:r>
        <w:rPr>
          <w:rFonts w:ascii="Times New Roman" w:hAnsi="Times New Roman" w:eastAsia="黑体" w:cs="Times New Roman"/>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Change w:id="5" w:author="陈志毅" w:date="2023-09-11T17:05:16Z">
          <w:pPr>
            <w:numPr>
              <w:ilvl w:val="255"/>
              <w:numId w:val="0"/>
            </w:numPr>
            <w:spacing w:line="560" w:lineRule="exact"/>
            <w:ind w:firstLine="640"/>
          </w:pPr>
        </w:pPrChange>
      </w:pPr>
      <w:r>
        <w:rPr>
          <w:rFonts w:ascii="Times New Roman" w:hAnsi="Times New Roman" w:eastAsia="仿宋_GB2312" w:cs="Times New Roman"/>
          <w:bCs/>
          <w:sz w:val="32"/>
          <w:szCs w:val="32"/>
        </w:rPr>
        <w:t>拟征收土地位于</w:t>
      </w:r>
      <w:r>
        <w:rPr>
          <w:rFonts w:ascii="Times New Roman" w:hAnsi="Times New Roman" w:eastAsia="仿宋_GB2312" w:cs="Times New Roman"/>
          <w:sz w:val="32"/>
          <w:szCs w:val="32"/>
        </w:rPr>
        <w:t>广州市花都区人民政府拟征收</w:t>
      </w:r>
      <w:r>
        <w:rPr>
          <w:rFonts w:hint="eastAsia" w:ascii="Times New Roman" w:hAnsi="Times New Roman" w:eastAsia="仿宋_GB2312" w:cs="Times New Roman"/>
          <w:sz w:val="32"/>
          <w:szCs w:val="32"/>
        </w:rPr>
        <w:t>花都区</w:t>
      </w:r>
      <w:r>
        <w:rPr>
          <w:rFonts w:ascii="Times New Roman" w:hAnsi="Times New Roman" w:eastAsia="仿宋_GB2312" w:cs="Times New Roman"/>
          <w:sz w:val="32"/>
        </w:rPr>
        <w:t>花</w:t>
      </w:r>
      <w:r>
        <w:rPr>
          <w:rFonts w:hint="eastAsia" w:ascii="Times New Roman" w:hAnsi="Times New Roman" w:eastAsia="仿宋_GB2312" w:cs="Times New Roman"/>
          <w:sz w:val="32"/>
        </w:rPr>
        <w:t>东</w:t>
      </w:r>
      <w:r>
        <w:rPr>
          <w:rFonts w:ascii="Times New Roman" w:hAnsi="Times New Roman" w:eastAsia="仿宋_GB2312" w:cs="Times New Roman"/>
          <w:sz w:val="32"/>
        </w:rPr>
        <w:t>镇</w:t>
      </w:r>
      <w:r>
        <w:rPr>
          <w:rFonts w:hint="eastAsia" w:ascii="Times New Roman" w:hAnsi="Times New Roman" w:eastAsia="仿宋_GB2312" w:cs="Times New Roman"/>
          <w:sz w:val="32"/>
        </w:rPr>
        <w:t>北兴村第二经济合作社，第一经济合作社；大龙村第四经济合作社，</w:t>
      </w:r>
      <w:r>
        <w:rPr>
          <w:rFonts w:hint="eastAsia" w:ascii="Times New Roman" w:hAnsi="Times New Roman" w:eastAsia="仿宋_GB2312" w:cs="Times New Roman"/>
          <w:sz w:val="32"/>
          <w:szCs w:val="32"/>
        </w:rPr>
        <w:t>第三经济合作社，第三经济合作社、第四经济合作社（共有），第一经济合作社、第二经济合作社（共有），第一经济合作社，第一经济合作社、第三经济合作社、第二经济合作社、第四经济合作社（共有），第二经济合作社；鸿鹤经济联合社；京塘经济联合社，京塘村第一经济合作社、第二经济合作社、第四经济合作社（共有），第一经济合作社，第三经济合作社，第六经济合作社，第七经济合作社，第二经济合作社，第五经济合作社，第四经济合作社，第一经济合作社、第七经济合作社、第三经济合作社、第二经济合作社、第五经济合作社、第六经济合作社、第四经济合作社（共有），第八经济合作社，第五经济合作社、第六经济合作社、第四经济合作社（共有），第四经济合作社、第五经济合作社（共有），第二经济合作社、第三经济合作社（共有）；望顶村第一经济合作社、第七经济合作社、第三经济合作社、第二经济合作社、第四经济合作社（共有），第七经济合作社、第二经济合作社（共有），第七经济合作社，第一经济合作社，第三经济合作社，第四经济合作社；杨一经济联合社、杨三经济联合社、杨二经济联合社（共有）；镇东村第一经济合作社，第二经济合作社，第三经济合作社，第一经济合作社、第三经济合作社、第二经济合作社、第五经济合作社、第四经济合作社（共有），第五经济合作社，第四经济合作社</w:t>
      </w:r>
      <w:r>
        <w:rPr>
          <w:rFonts w:ascii="Times New Roman" w:hAnsi="Times New Roman" w:eastAsia="仿宋_GB2312" w:cs="Times New Roman"/>
          <w:bCs/>
          <w:sz w:val="32"/>
          <w:szCs w:val="32"/>
        </w:rPr>
        <w:t>范围内，具体位置详见附图。</w:t>
      </w:r>
    </w:p>
    <w:p>
      <w:pPr>
        <w:numPr>
          <w:ilvl w:val="255"/>
          <w:numId w:val="0"/>
        </w:numPr>
        <w:spacing w:line="560" w:lineRule="exact"/>
        <w:ind w:firstLine="640"/>
        <w:rPr>
          <w:rFonts w:ascii="Times New Roman" w:hAnsi="Times New Roman" w:eastAsia="仿宋_GB2312" w:cs="Times New Roman"/>
          <w:bCs/>
          <w:sz w:val="32"/>
          <w:szCs w:val="32"/>
        </w:rPr>
        <w:pPrChange w:id="6" w:author="陈志毅" w:date="2023-09-11T17:05:16Z">
          <w:pPr>
            <w:numPr>
              <w:ilvl w:val="255"/>
              <w:numId w:val="0"/>
            </w:numPr>
            <w:spacing w:line="560" w:lineRule="exact"/>
            <w:ind w:firstLine="640"/>
          </w:pPr>
        </w:pPrChange>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Change w:id="7" w:author="陈志毅" w:date="2023-09-11T17:05:16Z">
          <w:pPr>
            <w:numPr>
              <w:ilvl w:val="255"/>
              <w:numId w:val="0"/>
            </w:numPr>
            <w:spacing w:line="560" w:lineRule="exact"/>
            <w:ind w:firstLine="640" w:firstLineChars="200"/>
          </w:pPr>
        </w:pPrChange>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Change w:id="8" w:author="陈志毅" w:date="2023-09-11T17:05:16Z">
          <w:pPr>
            <w:numPr>
              <w:ilvl w:val="255"/>
              <w:numId w:val="0"/>
            </w:numPr>
            <w:spacing w:line="560" w:lineRule="exact"/>
            <w:ind w:firstLine="640" w:firstLineChars="200"/>
          </w:pPr>
        </w:pPrChange>
      </w:pPr>
      <w:bookmarkStart w:id="0"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为由政府组织实施的能源、交通、水利、通信、邮政等基础设施建设需要用地的。</w:t>
      </w:r>
    </w:p>
    <w:bookmarkEnd w:id="0"/>
    <w:p>
      <w:pPr>
        <w:numPr>
          <w:ilvl w:val="255"/>
          <w:numId w:val="0"/>
        </w:numPr>
        <w:spacing w:line="560" w:lineRule="exact"/>
        <w:ind w:firstLine="640" w:firstLineChars="200"/>
        <w:rPr>
          <w:rFonts w:ascii="Times New Roman" w:hAnsi="Times New Roman" w:eastAsia="黑体" w:cs="Times New Roman"/>
          <w:sz w:val="32"/>
          <w:szCs w:val="32"/>
        </w:rPr>
        <w:pPrChange w:id="9" w:author="陈志毅" w:date="2023-09-11T17:05:16Z">
          <w:pPr>
            <w:numPr>
              <w:ilvl w:val="255"/>
              <w:numId w:val="0"/>
            </w:numPr>
            <w:spacing w:line="560" w:lineRule="exact"/>
            <w:ind w:firstLine="640" w:firstLineChars="200"/>
          </w:pPr>
        </w:pPrChange>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bCs/>
          <w:sz w:val="32"/>
          <w:szCs w:val="32"/>
        </w:rPr>
        <w:pPrChange w:id="10"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60" w:lineRule="exact"/>
        <w:ind w:firstLine="640" w:firstLineChars="200"/>
        <w:rPr>
          <w:rFonts w:ascii="Times New Roman" w:hAnsi="Times New Roman" w:eastAsia="仿宋_GB2312" w:cs="Times New Roman"/>
          <w:sz w:val="32"/>
        </w:rPr>
        <w:pPrChange w:id="11"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sz w:val="32"/>
          <w:szCs w:val="32"/>
        </w:rPr>
        <w:t>（一）拟征收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rPr>
        <w:t>北兴村第二经济合作社，第一经济合作社</w:t>
      </w:r>
      <w:r>
        <w:rPr>
          <w:rFonts w:ascii="Times New Roman" w:hAnsi="Times New Roman" w:eastAsia="仿宋_GB2312" w:cs="Times New Roman"/>
          <w:sz w:val="32"/>
          <w:szCs w:val="32"/>
        </w:rPr>
        <w:t>集体所有土地1.7192公顷（25.788‬0亩）。其中农用地1.3909公顷（20.8635亩），</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含耕地；</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.3283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4.9245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rPr>
          <w:rFonts w:ascii="Times New Roman" w:hAnsi="Times New Roman" w:eastAsia="仿宋_GB2312" w:cs="Times New Roman"/>
          <w:sz w:val="32"/>
          <w:szCs w:val="32"/>
        </w:rPr>
        <w:pPrChange w:id="12" w:author="陈志毅" w:date="2023-09-11T17:05:16Z">
          <w:pPr>
            <w:numPr>
              <w:ilvl w:val="255"/>
              <w:numId w:val="0"/>
            </w:numPr>
            <w:spacing w:line="560" w:lineRule="exact"/>
          </w:pPr>
        </w:pPrChange>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rPr>
        <w:t>大龙村第四经济合作社，</w:t>
      </w:r>
      <w:r>
        <w:rPr>
          <w:rFonts w:hint="eastAsia" w:ascii="Times New Roman" w:hAnsi="Times New Roman" w:eastAsia="仿宋_GB2312" w:cs="Times New Roman"/>
          <w:sz w:val="32"/>
          <w:szCs w:val="32"/>
        </w:rPr>
        <w:t>第三经济合作社，第三经济合作社、第四经济合作社（共有），第一经济合作社、第二经济合作社（共有），第一经济合作社，第一经济合作社、第三经济合作社、第二经济合作社、第四经济合作社（共有），第二经济合作社</w:t>
      </w:r>
      <w:r>
        <w:rPr>
          <w:rFonts w:ascii="Times New Roman" w:hAnsi="Times New Roman" w:eastAsia="仿宋_GB2312" w:cs="Times New Roman"/>
          <w:sz w:val="32"/>
          <w:szCs w:val="32"/>
        </w:rPr>
        <w:t>集体所有土地6.2923公顷（94.3845‬亩）。其中农用地5.5750公顷（83.6250亩），含耕地0.0393公顷（0.5895亩）；建设用地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.7173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10.7595‬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sz w:val="32"/>
          <w:szCs w:val="32"/>
        </w:rPr>
        <w:pPrChange w:id="13"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rPr>
        <w:t>鸿鹤经济联合社</w:t>
      </w:r>
      <w:r>
        <w:rPr>
          <w:rFonts w:ascii="Times New Roman" w:hAnsi="Times New Roman" w:eastAsia="仿宋_GB2312" w:cs="Times New Roman"/>
          <w:sz w:val="32"/>
          <w:szCs w:val="32"/>
        </w:rPr>
        <w:t>集体所有土地0.0686公顷（1.029‬0亩）。其中农用地0.0686公顷（1.029‬0亩），</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含耕地；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color w:val="FF0000"/>
          <w:sz w:val="32"/>
          <w:szCs w:val="32"/>
        </w:rPr>
        <w:pPrChange w:id="14"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京塘经济联合社，京塘村第一经济合作社、第二经济合作社、第四经济合作社（共有），第一经济合作社，第三经济合作社，第六经济合作社，第七经济合作社，第二经济合作社，第五经济合作社，第四经济合作社，第一经济合作社、第七经济合作社、第三经济合作社、第二经济合作社、第五经济合作社、第六经济合作社、第四经济合作社（共有），第八经济合作社，第五经济合作社、第六经济合作社、第四经济合作社（共有），第四经济合作社、第五经济合作社（共有），第二经济合作社、第三经济合作社（共有）</w:t>
      </w:r>
      <w:r>
        <w:rPr>
          <w:rFonts w:ascii="Times New Roman" w:hAnsi="Times New Roman" w:eastAsia="仿宋_GB2312" w:cs="Times New Roman"/>
          <w:sz w:val="32"/>
          <w:szCs w:val="32"/>
        </w:rPr>
        <w:t>集体所有土地5.9202公顷（88.8030亩）。其中农用地2.1463公顷（32.1945亩），含耕地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.6658</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9.9870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.7739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56.6085‬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sz w:val="32"/>
          <w:szCs w:val="32"/>
        </w:rPr>
        <w:pPrChange w:id="15"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望顶村第一经济合作社、第七经济合作社、第三经济合作社、第二经济合作社、第四经济合作社（共有），第七经济合作社、第二经济合作社（共有），第七经济合作社，第一经济合作社，第三经济合作社，第四经济合作社</w:t>
      </w:r>
      <w:r>
        <w:rPr>
          <w:rFonts w:ascii="Times New Roman" w:hAnsi="Times New Roman" w:eastAsia="仿宋_GB2312" w:cs="Times New Roman"/>
          <w:sz w:val="32"/>
          <w:szCs w:val="32"/>
        </w:rPr>
        <w:t>集体所有土地3.5342公顷（53.0130‬亩）。其中农用地2.5581公顷（38.3715‬亩），</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含耕地；</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.9761</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14.6415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sz w:val="32"/>
          <w:szCs w:val="32"/>
        </w:rPr>
        <w:pPrChange w:id="16"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杨一经济联合社、杨三经济联合社、杨二经济联合社（共有）</w:t>
      </w:r>
      <w:r>
        <w:rPr>
          <w:rFonts w:ascii="Times New Roman" w:hAnsi="Times New Roman" w:eastAsia="仿宋_GB2312" w:cs="Times New Roman"/>
          <w:sz w:val="32"/>
          <w:szCs w:val="32"/>
        </w:rPr>
        <w:t>集体所有土地7.0981公顷（106.4715‬亩）。其中农用地6.1362公顷（92.0430‬亩），</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含耕地；</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.9619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14.4285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sz w:val="32"/>
          <w:szCs w:val="32"/>
        </w:rPr>
        <w:pPrChange w:id="17"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镇东村第一经济合作社，第二经济合作社，第三经济合作社，第一经济合作社、第三经济合作社、第二经济合作社、第五经济合作社、第四经济合作社（共有），第五经济合作社，第四经济合作社</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.7831公顷（41.7465亩）。其中农用地2.7152公顷（40.7280‬亩），含耕地0.0275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0.4125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.0596</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0.8940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.0083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0.1245</w:t>
      </w:r>
      <w:r>
        <w:rPr>
          <w:rFonts w:hint="eastAsia" w:ascii="Times New Roman" w:hAnsi="Times New Roman" w:eastAsia="仿宋_GB2312" w:cs="Times New Roman"/>
          <w:sz w:val="32"/>
          <w:szCs w:val="32"/>
        </w:rPr>
        <w:t>亩）。</w:t>
      </w:r>
    </w:p>
    <w:p>
      <w:pPr>
        <w:numPr>
          <w:ilvl w:val="255"/>
          <w:numId w:val="0"/>
        </w:numPr>
        <w:spacing w:line="560" w:lineRule="exact"/>
        <w:ind w:firstLine="640" w:firstLineChars="200"/>
        <w:rPr>
          <w:rFonts w:ascii="Times New Roman" w:hAnsi="Times New Roman" w:eastAsia="仿宋_GB2312" w:cs="Times New Roman"/>
          <w:sz w:val="32"/>
          <w:szCs w:val="32"/>
        </w:rPr>
        <w:pPrChange w:id="18" w:author="陈志毅" w:date="2023-09-11T17:05:16Z">
          <w:pPr>
            <w:numPr>
              <w:ilvl w:val="255"/>
              <w:numId w:val="0"/>
            </w:numPr>
            <w:spacing w:line="560" w:lineRule="exact"/>
            <w:ind w:firstLine="640" w:firstLineChars="200"/>
          </w:pPr>
        </w:pPrChange>
      </w:pPr>
      <w:r>
        <w:rPr>
          <w:rFonts w:ascii="Times New Roman" w:hAnsi="Times New Roman" w:eastAsia="黑体" w:cs="Times New Roman"/>
          <w:sz w:val="32"/>
          <w:szCs w:val="32"/>
        </w:rPr>
        <w:t>四、补偿方式和标准</w:t>
      </w:r>
    </w:p>
    <w:p>
      <w:pPr>
        <w:numPr>
          <w:ilvl w:val="255"/>
          <w:numId w:val="0"/>
        </w:numPr>
        <w:spacing w:line="560" w:lineRule="exact"/>
        <w:ind w:firstLine="640"/>
        <w:rPr>
          <w:rFonts w:ascii="Times New Roman" w:hAnsi="Times New Roman" w:eastAsia="仿宋_GB2312" w:cs="Times New Roman"/>
          <w:sz w:val="32"/>
          <w:szCs w:val="32"/>
        </w:rPr>
        <w:pPrChange w:id="19"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Change w:id="20" w:author="陈志毅" w:date="2023-09-11T17:05:16Z">
          <w:pPr>
            <w:numPr>
              <w:ilvl w:val="255"/>
              <w:numId w:val="0"/>
            </w:numPr>
            <w:spacing w:line="560" w:lineRule="exact"/>
            <w:ind w:firstLine="640"/>
          </w:pPr>
        </w:pPrChange>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广东省自然资源厅关于广州市征收农用地区片综合地价成果的批复</w:t>
      </w:r>
      <w:r>
        <w:rPr>
          <w:rFonts w:ascii="Times New Roman" w:hAnsi="Times New Roman" w:eastAsia="仿宋_GB2312" w:cs="Times New Roman"/>
          <w:sz w:val="32"/>
          <w:szCs w:val="32"/>
        </w:rPr>
        <w:t>》（粤自然资函</w:t>
      </w:r>
      <w:r>
        <w:rPr>
          <w:rFonts w:ascii="Times New Roman" w:hAnsi="Times New Roman" w:eastAsia="仿宋" w:cs="Times New Roman"/>
          <w:sz w:val="32"/>
          <w:szCs w:val="32"/>
        </w:rPr>
        <w:t>〔2021〕</w:t>
      </w:r>
      <w:r>
        <w:rPr>
          <w:rFonts w:ascii="Times New Roman" w:hAnsi="Times New Roman" w:eastAsia="仿宋_GB2312" w:cs="Times New Roman"/>
          <w:sz w:val="32"/>
          <w:szCs w:val="32"/>
        </w:rPr>
        <w:t>196号）的规定，</w:t>
      </w:r>
      <w:r>
        <w:rPr>
          <w:rFonts w:hint="eastAsia" w:ascii="Times New Roman" w:hAnsi="Times New Roman" w:eastAsia="仿宋_GB2312" w:cs="Times New Roman"/>
          <w:sz w:val="32"/>
          <w:szCs w:val="32"/>
        </w:rPr>
        <w:t>农用地</w:t>
      </w:r>
      <w:r>
        <w:rPr>
          <w:rFonts w:ascii="Times New Roman" w:hAnsi="Times New Roman" w:eastAsia="仿宋_GB2312" w:cs="Times New Roman"/>
          <w:sz w:val="32"/>
          <w:szCs w:val="32"/>
        </w:rPr>
        <w:t>土地补偿标准为97.5万元/公顷，安置补助标准为97.5万元/公顷</w:t>
      </w:r>
      <w:r>
        <w:rPr>
          <w:rFonts w:hint="eastAsia" w:ascii="Times New Roman" w:hAnsi="Times New Roman" w:eastAsia="仿宋_GB2312" w:cs="Times New Roman"/>
          <w:sz w:val="32"/>
          <w:szCs w:val="32"/>
        </w:rPr>
        <w:t>，建设用地和未利用地土地补偿标准为</w:t>
      </w:r>
      <w:r>
        <w:rPr>
          <w:rFonts w:ascii="Times New Roman" w:hAnsi="Times New Roman" w:eastAsia="仿宋_GB2312" w:cs="Times New Roman"/>
          <w:sz w:val="32"/>
          <w:szCs w:val="32"/>
        </w:rPr>
        <w:t>195万/公顷。</w:t>
      </w:r>
    </w:p>
    <w:p>
      <w:pPr>
        <w:numPr>
          <w:ilvl w:val="255"/>
          <w:numId w:val="0"/>
        </w:numPr>
        <w:spacing w:line="560" w:lineRule="exact"/>
        <w:ind w:firstLine="640" w:firstLineChars="200"/>
        <w:rPr>
          <w:rFonts w:ascii="Times New Roman" w:hAnsi="Times New Roman" w:eastAsia="仿宋_GB2312" w:cs="Times New Roman"/>
          <w:sz w:val="32"/>
          <w:szCs w:val="32"/>
        </w:rPr>
        <w:pPrChange w:id="21"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Change w:id="22" w:author="陈志毅" w:date="2023-09-11T17:05:16Z">
          <w:pPr>
            <w:numPr>
              <w:ilvl w:val="255"/>
              <w:numId w:val="0"/>
            </w:numPr>
            <w:spacing w:line="560" w:lineRule="exact"/>
            <w:ind w:firstLine="640" w:firstLineChars="200"/>
          </w:pPr>
        </w:pPrChange>
      </w:pPr>
      <w:r>
        <w:rPr>
          <w:rFonts w:hint="eastAsia" w:ascii="Times New Roman" w:hAnsi="Times New Roman" w:eastAsia="仿宋_GB2312" w:cs="Times New Roman"/>
          <w:sz w:val="32"/>
          <w:szCs w:val="32"/>
        </w:rPr>
        <w:t>农村村民住宅补偿费、青苗补偿费及地上附着物补偿费等其他补偿费用参照《广州市花都区人民政府办公室印发花都区片区征地包干补偿工作方案的通知</w:t>
      </w:r>
      <w:r>
        <w:rPr>
          <w:rFonts w:ascii="Times New Roman" w:hAnsi="Times New Roman" w:eastAsia="仿宋_GB2312" w:cs="Times New Roman"/>
          <w:sz w:val="32"/>
          <w:szCs w:val="32"/>
        </w:rPr>
        <w:t>》（花府办</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）等有关规定进行补偿。</w:t>
      </w:r>
    </w:p>
    <w:p>
      <w:pPr>
        <w:numPr>
          <w:ilvl w:val="255"/>
          <w:numId w:val="0"/>
        </w:numPr>
        <w:spacing w:line="560" w:lineRule="exact"/>
        <w:ind w:firstLine="640" w:firstLineChars="200"/>
        <w:rPr>
          <w:rFonts w:ascii="Times New Roman" w:hAnsi="Times New Roman" w:eastAsia="仿宋_GB2312" w:cs="Times New Roman"/>
          <w:sz w:val="32"/>
          <w:szCs w:val="32"/>
        </w:rPr>
        <w:pPrChange w:id="23" w:author="陈志毅" w:date="2023-09-11T17:05:16Z">
          <w:pPr>
            <w:numPr>
              <w:ilvl w:val="255"/>
              <w:numId w:val="0"/>
            </w:numPr>
            <w:spacing w:line="560" w:lineRule="exact"/>
            <w:ind w:firstLine="640" w:firstLineChars="200"/>
          </w:pPr>
        </w:pPrChange>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Change w:id="24"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
        <w:pPrChange w:id="25" w:author="陈志毅" w:date="2023-09-11T17:05:16Z">
          <w:pPr>
            <w:numPr>
              <w:ilvl w:val="255"/>
              <w:numId w:val="0"/>
            </w:numPr>
            <w:spacing w:line="560" w:lineRule="exact"/>
            <w:ind w:firstLine="640" w:firstLineChars="200"/>
          </w:pPr>
        </w:pPrChange>
      </w:pPr>
      <w:r>
        <w:rPr>
          <w:rFonts w:ascii="Times New Roman" w:hAnsi="Times New Roman" w:eastAsia="黑体" w:cs="Times New Roman"/>
          <w:sz w:val="32"/>
          <w:szCs w:val="32"/>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
        <w:pPrChange w:id="26"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Change w:id="27"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sz w:val="32"/>
          <w:szCs w:val="32"/>
        </w:rPr>
        <w:t>（二）留用地安置。根据《</w:t>
      </w:r>
      <w:r>
        <w:rPr>
          <w:rFonts w:hint="eastAsia" w:ascii="Times New Roman" w:hAnsi="Times New Roman" w:eastAsia="仿宋_GB2312" w:cs="Times New Roman"/>
          <w:sz w:val="32"/>
          <w:szCs w:val="32"/>
        </w:rPr>
        <w:t>广东省征收农村集体土地留用地管理办法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粤</w:t>
      </w:r>
      <w:r>
        <w:rPr>
          <w:rFonts w:ascii="Times New Roman" w:hAnsi="Times New Roman" w:eastAsia="仿宋_GB2312" w:cs="Times New Roman"/>
          <w:sz w:val="32"/>
          <w:szCs w:val="32"/>
        </w:rPr>
        <w:t>府办〔2009〕41号）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rPr>
        <w:t>实物留地</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Change w:id="28" w:author="陈志毅" w:date="2023-09-11T17:05:16Z">
          <w:pPr>
            <w:numPr>
              <w:ilvl w:val="255"/>
              <w:numId w:val="0"/>
            </w:numPr>
            <w:spacing w:line="560" w:lineRule="exact"/>
            <w:ind w:firstLine="640" w:firstLineChars="200"/>
          </w:pPr>
        </w:pPrChange>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w:t>
      </w:r>
      <w:r>
        <w:rPr>
          <w:rFonts w:ascii="Times New Roman" w:hAnsi="Times New Roman" w:eastAsia="仿宋_GB2312" w:cs="Times New Roman"/>
          <w:sz w:val="32"/>
          <w:szCs w:val="32"/>
        </w:rPr>
        <w:t>标准一次性集体被征地农民养老保障资金存入“收缴被征地农民养老保障资金过渡户”，费用合计880.22万元，专款用于被征地农民缴纳养老保险费用。征地批准文件批复的实际范围有变化的，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bookmarkStart w:id="1" w:name="_GoBack"/>
      <w:bookmarkEnd w:id="1"/>
    </w:p>
    <w:p>
      <w:pPr>
        <w:numPr>
          <w:ilvl w:val="255"/>
          <w:numId w:val="0"/>
        </w:numPr>
        <w:spacing w:line="560" w:lineRule="exact"/>
        <w:ind w:firstLine="640" w:firstLineChars="200"/>
        <w:rPr>
          <w:rFonts w:ascii="Times New Roman" w:hAnsi="Times New Roman" w:eastAsia="仿宋_GB2312" w:cs="Times New Roman"/>
          <w:bCs/>
          <w:sz w:val="32"/>
          <w:szCs w:val="32"/>
        </w:rPr>
        <w:pPrChange w:id="29" w:author="陈志毅" w:date="2023-09-11T17:05:16Z">
          <w:pPr>
            <w:numPr>
              <w:ilvl w:val="255"/>
              <w:numId w:val="0"/>
            </w:numPr>
            <w:spacing w:line="560" w:lineRule="exact"/>
            <w:ind w:firstLine="640" w:firstLineChars="200"/>
          </w:pPr>
        </w:pPrChange>
      </w:pPr>
    </w:p>
    <w:p>
      <w:pPr>
        <w:numPr>
          <w:ilvl w:val="255"/>
          <w:numId w:val="0"/>
        </w:numPr>
        <w:spacing w:line="560" w:lineRule="exact"/>
        <w:ind w:firstLine="640" w:firstLineChars="200"/>
        <w:rPr>
          <w:rFonts w:ascii="Times New Roman" w:hAnsi="Times New Roman" w:eastAsia="仿宋_GB2312" w:cs="Times New Roman"/>
          <w:bCs/>
          <w:sz w:val="32"/>
          <w:szCs w:val="32"/>
        </w:rPr>
        <w:pPrChange w:id="30" w:author="陈志毅" w:date="2023-09-11T17:05:16Z">
          <w:pPr>
            <w:numPr>
              <w:ilvl w:val="255"/>
              <w:numId w:val="0"/>
            </w:numPr>
            <w:spacing w:line="560" w:lineRule="exact"/>
            <w:ind w:firstLine="640" w:firstLineChars="200"/>
          </w:pPr>
        </w:pPrChange>
      </w:pPr>
    </w:p>
    <w:p>
      <w:pPr>
        <w:spacing w:line="560" w:lineRule="exact"/>
        <w:jc w:val="right"/>
        <w:rPr>
          <w:rFonts w:ascii="Times New Roman" w:hAnsi="Times New Roman" w:eastAsia="仿宋_GB2312" w:cs="Times New Roman"/>
          <w:sz w:val="32"/>
          <w:szCs w:val="32"/>
          <w:rPrChange w:id="32" w:author="陈志毅" w:date="2023-09-11T17:05:18Z">
            <w:rPr>
              <w:rFonts w:ascii="仿宋_GB2312" w:hAnsi="仿宋_GB2312" w:eastAsia="仿宋_GB2312" w:cs="仿宋_GB2312"/>
              <w:sz w:val="32"/>
              <w:szCs w:val="32"/>
            </w:rPr>
          </w:rPrChange>
        </w:rPr>
        <w:pPrChange w:id="31" w:author="陈志毅" w:date="2023-09-11T17:05:16Z">
          <w:pPr>
            <w:spacing w:line="560" w:lineRule="exact"/>
            <w:jc w:val="right"/>
          </w:pPr>
        </w:pPrChange>
      </w:pPr>
      <w:r>
        <w:rPr>
          <w:rFonts w:hint="default" w:ascii="Times New Roman" w:hAnsi="Times New Roman" w:eastAsia="仿宋_GB2312" w:cs="Times New Roman"/>
          <w:sz w:val="32"/>
          <w:szCs w:val="32"/>
          <w:rPrChange w:id="33" w:author="陈志毅" w:date="2023-09-11T17:05:18Z">
            <w:rPr>
              <w:rFonts w:hint="eastAsia" w:ascii="仿宋_GB2312" w:hAnsi="仿宋_GB2312" w:eastAsia="仿宋_GB2312" w:cs="仿宋_GB2312"/>
              <w:sz w:val="32"/>
              <w:szCs w:val="32"/>
            </w:rPr>
          </w:rPrChange>
        </w:rPr>
        <w:t>广州市规划和自然资源局花都区分局</w:t>
      </w:r>
    </w:p>
    <w:p>
      <w:pPr>
        <w:wordWrap w:val="0"/>
        <w:spacing w:line="560" w:lineRule="exact"/>
        <w:jc w:val="right"/>
        <w:rPr>
          <w:rFonts w:ascii="Times New Roman" w:hAnsi="Times New Roman" w:eastAsia="宋体" w:cs="Times New Roman"/>
          <w:szCs w:val="24"/>
        </w:rPr>
        <w:pPrChange w:id="34" w:author="陈志毅" w:date="2023-09-11T17:05:16Z">
          <w:pPr>
            <w:wordWrap w:val="0"/>
            <w:spacing w:line="560" w:lineRule="exact"/>
            <w:jc w:val="right"/>
          </w:pPr>
        </w:pPrChange>
      </w:pPr>
      <w:r>
        <w:rPr>
          <w:rFonts w:ascii="Times New Roman" w:hAnsi="Times New Roman" w:eastAsia="仿宋_GB2312" w:cs="Times New Roman"/>
          <w:sz w:val="32"/>
          <w:szCs w:val="32"/>
        </w:rPr>
        <w:t>2023年9月5日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p>
      <w:pPr>
        <w:spacing w:line="560" w:lineRule="exact"/>
        <w:rPr>
          <w:rFonts w:ascii="Times New Roman" w:hAnsi="Times New Roman" w:cs="Times New Roman"/>
        </w:rPr>
        <w:pPrChange w:id="35" w:author="陈志毅" w:date="2023-09-11T17:05:16Z">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11236"/>
    <w:rsid w:val="00065031"/>
    <w:rsid w:val="0009037D"/>
    <w:rsid w:val="000F4B96"/>
    <w:rsid w:val="00173D73"/>
    <w:rsid w:val="00177C23"/>
    <w:rsid w:val="001947BC"/>
    <w:rsid w:val="001A469B"/>
    <w:rsid w:val="001E5976"/>
    <w:rsid w:val="00242591"/>
    <w:rsid w:val="002561CA"/>
    <w:rsid w:val="002B777B"/>
    <w:rsid w:val="003361DE"/>
    <w:rsid w:val="00371BA2"/>
    <w:rsid w:val="003A6945"/>
    <w:rsid w:val="003A7453"/>
    <w:rsid w:val="003C0B10"/>
    <w:rsid w:val="00416C7C"/>
    <w:rsid w:val="005D1AA1"/>
    <w:rsid w:val="005D557A"/>
    <w:rsid w:val="00604E24"/>
    <w:rsid w:val="0062138F"/>
    <w:rsid w:val="0062620D"/>
    <w:rsid w:val="00635872"/>
    <w:rsid w:val="006765D4"/>
    <w:rsid w:val="006958E6"/>
    <w:rsid w:val="006D348C"/>
    <w:rsid w:val="007435CB"/>
    <w:rsid w:val="007874BD"/>
    <w:rsid w:val="007C68CD"/>
    <w:rsid w:val="00890FF9"/>
    <w:rsid w:val="008962A8"/>
    <w:rsid w:val="008A2C49"/>
    <w:rsid w:val="0095237C"/>
    <w:rsid w:val="00954428"/>
    <w:rsid w:val="00960A2D"/>
    <w:rsid w:val="00992D03"/>
    <w:rsid w:val="009C2467"/>
    <w:rsid w:val="00A43688"/>
    <w:rsid w:val="00AD1621"/>
    <w:rsid w:val="00AD6E00"/>
    <w:rsid w:val="00B837C0"/>
    <w:rsid w:val="00C53D10"/>
    <w:rsid w:val="00C925E4"/>
    <w:rsid w:val="00CB07E2"/>
    <w:rsid w:val="00D521E3"/>
    <w:rsid w:val="00DF3586"/>
    <w:rsid w:val="00E30322"/>
    <w:rsid w:val="00E73113"/>
    <w:rsid w:val="00E84953"/>
    <w:rsid w:val="00E93AF4"/>
    <w:rsid w:val="00EC19C6"/>
    <w:rsid w:val="00EE681C"/>
    <w:rsid w:val="00EF4B27"/>
    <w:rsid w:val="00FC4F3E"/>
    <w:rsid w:val="00FE2038"/>
    <w:rsid w:val="5CBC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560</Words>
  <Characters>3193</Characters>
  <Lines>26</Lines>
  <Paragraphs>7</Paragraphs>
  <TotalTime>452</TotalTime>
  <ScaleCrop>false</ScaleCrop>
  <LinksUpToDate>false</LinksUpToDate>
  <CharactersWithSpaces>3746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陈志毅</cp:lastModifiedBy>
  <dcterms:modified xsi:type="dcterms:W3CDTF">2023-09-11T09:05:22Z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71C47D3FF43A497D971DCD497C22BE36</vt:lpwstr>
  </property>
</Properties>
</file>