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tabs>
          <w:tab w:val="left" w:pos="7624"/>
        </w:tabs>
        <w:spacing w:before="177" w:line="240" w:lineRule="auto"/>
        <w:ind w:left="5288" w:right="0"/>
        <w:jc w:val="left"/>
        <w:rPr>
          <w:rFonts w:hint="default" w:ascii="Times New Roman" w:hAnsi="Times New Roman" w:eastAsia="仿宋_GB2312" w:cs="Times New Roman"/>
          <w:sz w:val="32"/>
          <w:szCs w:val="32"/>
        </w:rPr>
      </w:pPr>
      <w:r>
        <w:rPr>
          <w:rFonts w:hint="default" w:ascii="Times New Roman" w:hAnsi="Times New Roman" w:eastAsia="仿宋_GB2312" w:cs="Times New Roman"/>
          <w:color w:val="676B6B"/>
          <w:sz w:val="32"/>
          <w:szCs w:val="32"/>
        </w:rPr>
        <w:t>粤府土审</w:t>
      </w:r>
      <w:r>
        <w:rPr>
          <w:rFonts w:hint="default" w:ascii="Times New Roman" w:hAnsi="Times New Roman" w:eastAsia="仿宋_GB2312" w:cs="Times New Roman"/>
          <w:color w:val="676B6B"/>
          <w:w w:val="65"/>
          <w:sz w:val="32"/>
          <w:szCs w:val="32"/>
        </w:rPr>
        <w:t>（</w:t>
      </w:r>
      <w:r>
        <w:rPr>
          <w:rFonts w:hint="default" w:ascii="Times New Roman" w:hAnsi="Times New Roman" w:eastAsia="仿宋_GB2312" w:cs="Times New Roman"/>
          <w:color w:val="676B6B"/>
          <w:sz w:val="32"/>
          <w:szCs w:val="32"/>
        </w:rPr>
        <w:t>02</w:t>
      </w:r>
      <w:r>
        <w:rPr>
          <w:rFonts w:hint="default" w:ascii="Times New Roman" w:hAnsi="Times New Roman" w:eastAsia="仿宋_GB2312" w:cs="Times New Roman"/>
          <w:color w:val="676B6B"/>
          <w:w w:val="65"/>
          <w:sz w:val="32"/>
          <w:szCs w:val="32"/>
        </w:rPr>
        <w:t>）〔</w:t>
      </w:r>
      <w:r>
        <w:rPr>
          <w:rFonts w:hint="default" w:ascii="Times New Roman" w:hAnsi="Times New Roman" w:eastAsia="仿宋_GB2312" w:cs="Times New Roman"/>
          <w:color w:val="676B6B"/>
          <w:sz w:val="32"/>
          <w:szCs w:val="32"/>
        </w:rPr>
        <w:t>2023</w:t>
      </w:r>
      <w:r>
        <w:rPr>
          <w:rFonts w:hint="default" w:ascii="Times New Roman" w:hAnsi="Times New Roman" w:eastAsia="仿宋_GB2312" w:cs="Times New Roman"/>
          <w:color w:val="676B6B"/>
          <w:w w:val="65"/>
          <w:sz w:val="32"/>
          <w:szCs w:val="32"/>
        </w:rPr>
        <w:t>〕</w:t>
      </w:r>
      <w:r>
        <w:rPr>
          <w:rFonts w:hint="default" w:ascii="Times New Roman" w:hAnsi="Times New Roman" w:eastAsia="仿宋_GB2312" w:cs="Times New Roman"/>
          <w:color w:val="676B6B"/>
          <w:sz w:val="32"/>
          <w:szCs w:val="32"/>
        </w:rPr>
        <w:t>74号</w:t>
      </w:r>
    </w:p>
    <w:p>
      <w:pPr>
        <w:spacing w:before="1" w:line="240" w:lineRule="auto"/>
        <w:rPr>
          <w:rFonts w:hint="default" w:ascii="Times New Roman" w:hAnsi="Times New Roman" w:eastAsia="宋体" w:cs="Times New Roman"/>
          <w:sz w:val="46"/>
          <w:szCs w:val="46"/>
        </w:rPr>
      </w:pPr>
    </w:p>
    <w:p>
      <w:pPr>
        <w:pStyle w:val="2"/>
        <w:spacing w:line="585" w:lineRule="exact"/>
        <w:ind w:right="0"/>
        <w:jc w:val="center"/>
        <w:rPr>
          <w:rFonts w:hint="eastAsia" w:ascii="方正小标宋_GBK" w:hAnsi="方正小标宋_GBK" w:eastAsia="方正小标宋_GBK" w:cs="方正小标宋_GBK"/>
          <w:sz w:val="42"/>
          <w:szCs w:val="42"/>
        </w:rPr>
      </w:pPr>
      <w:r>
        <w:rPr>
          <w:rFonts w:hint="default" w:ascii="Times New Roman" w:hAnsi="Times New Roman" w:eastAsia="方正小标宋_GBK" w:cs="Times New Roman"/>
          <w:color w:val="676B6B"/>
          <w:spacing w:val="-22"/>
          <w:w w:val="110"/>
        </w:rPr>
        <w:t>广东省人民政府关于广州市</w:t>
      </w:r>
      <w:r>
        <w:rPr>
          <w:rFonts w:hint="default" w:ascii="Times New Roman" w:hAnsi="Times New Roman" w:eastAsia="方正小标宋_GBK" w:cs="Times New Roman"/>
          <w:color w:val="676B6B"/>
          <w:spacing w:val="-22"/>
          <w:w w:val="110"/>
          <w:lang w:val="en-US" w:eastAsia="zh-CN"/>
        </w:rPr>
        <w:t>花</w:t>
      </w:r>
      <w:r>
        <w:rPr>
          <w:rFonts w:hint="eastAsia" w:ascii="方正小标宋_GBK" w:hAnsi="方正小标宋_GBK" w:eastAsia="方正小标宋_GBK" w:cs="方正小标宋_GBK"/>
          <w:color w:val="676B6B"/>
          <w:spacing w:val="-22"/>
          <w:w w:val="110"/>
          <w:lang w:val="en-US" w:eastAsia="zh-CN"/>
        </w:rPr>
        <w:t>都</w:t>
      </w:r>
      <w:r>
        <w:rPr>
          <w:rFonts w:hint="eastAsia" w:ascii="方正小标宋_GBK" w:hAnsi="方正小标宋_GBK" w:eastAsia="方正小标宋_GBK" w:cs="方正小标宋_GBK"/>
          <w:color w:val="676B6B"/>
          <w:spacing w:val="-22"/>
          <w:w w:val="110"/>
        </w:rPr>
        <w:t>区2022</w:t>
      </w:r>
      <w:r>
        <w:rPr>
          <w:rFonts w:hint="eastAsia" w:ascii="方正小标宋_GBK" w:hAnsi="方正小标宋_GBK" w:eastAsia="方正小标宋_GBK" w:cs="方正小标宋_GBK"/>
          <w:color w:val="676B6B"/>
          <w:spacing w:val="-15"/>
          <w:w w:val="110"/>
          <w:sz w:val="43"/>
          <w:szCs w:val="43"/>
        </w:rPr>
        <w:t>年度第</w:t>
      </w:r>
      <w:r>
        <w:rPr>
          <w:rFonts w:hint="eastAsia" w:ascii="方正小标宋_GBK" w:hAnsi="方正小标宋_GBK" w:eastAsia="方正小标宋_GBK" w:cs="方正小标宋_GBK"/>
          <w:color w:val="676B6B"/>
          <w:spacing w:val="-25"/>
          <w:w w:val="110"/>
          <w:sz w:val="42"/>
          <w:szCs w:val="42"/>
        </w:rPr>
        <w:t>五十六批次城镇建设用地的批复</w:t>
      </w:r>
    </w:p>
    <w:p>
      <w:pPr>
        <w:spacing w:before="4" w:line="240" w:lineRule="auto"/>
        <w:rPr>
          <w:rFonts w:hint="default" w:ascii="Times New Roman" w:hAnsi="Times New Roman" w:eastAsia="宋体" w:cs="Times New Roman"/>
          <w:sz w:val="56"/>
          <w:szCs w:val="56"/>
        </w:rPr>
      </w:pPr>
    </w:p>
    <w:p>
      <w:pPr>
        <w:pStyle w:val="4"/>
        <w:keepNext w:val="0"/>
        <w:keepLines w:val="0"/>
        <w:pageBreakBefore w:val="0"/>
        <w:widowControl w:val="0"/>
        <w:kinsoku/>
        <w:wordWrap/>
        <w:overflowPunct/>
        <w:topLinePunct w:val="0"/>
        <w:autoSpaceDE/>
        <w:autoSpaceDN/>
        <w:bidi w:val="0"/>
        <w:adjustRightInd/>
        <w:snapToGrid/>
        <w:spacing w:line="560" w:lineRule="exact"/>
        <w:ind w:left="0" w:right="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676B6B"/>
          <w:sz w:val="32"/>
          <w:szCs w:val="32"/>
        </w:rPr>
        <w:t>广州市人民</w:t>
      </w:r>
      <w:r>
        <w:rPr>
          <w:rFonts w:hint="eastAsia" w:ascii="仿宋_GB2312" w:hAnsi="仿宋_GB2312" w:eastAsia="仿宋_GB2312" w:cs="仿宋_GB2312"/>
          <w:color w:val="676B6B"/>
          <w:spacing w:val="12"/>
          <w:sz w:val="32"/>
          <w:szCs w:val="32"/>
        </w:rPr>
        <w:t>政府：</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《广州</w:t>
      </w:r>
      <w:r>
        <w:rPr>
          <w:rFonts w:hint="default" w:ascii="Times New Roman" w:hAnsi="Times New Roman" w:eastAsia="仿宋_GB2312" w:cs="Times New Roman"/>
          <w:color w:val="676B6B"/>
          <w:spacing w:val="17"/>
          <w:sz w:val="32"/>
          <w:szCs w:val="32"/>
        </w:rPr>
        <w:t>市规划和自</w:t>
      </w:r>
      <w:r>
        <w:rPr>
          <w:rFonts w:hint="default" w:ascii="Times New Roman" w:hAnsi="Times New Roman" w:eastAsia="仿宋_GB2312" w:cs="Times New Roman"/>
          <w:color w:val="676B6B"/>
          <w:sz w:val="32"/>
          <w:szCs w:val="32"/>
        </w:rPr>
        <w:t>然资源局关</w:t>
      </w:r>
      <w:r>
        <w:rPr>
          <w:rFonts w:hint="default" w:ascii="Times New Roman" w:hAnsi="Times New Roman" w:eastAsia="仿宋_GB2312" w:cs="Times New Roman"/>
          <w:color w:val="676B6B"/>
          <w:spacing w:val="7"/>
          <w:sz w:val="32"/>
          <w:szCs w:val="32"/>
        </w:rPr>
        <w:t>于审批广</w:t>
      </w:r>
      <w:r>
        <w:rPr>
          <w:rFonts w:hint="default" w:ascii="Times New Roman" w:hAnsi="Times New Roman" w:eastAsia="仿宋_GB2312" w:cs="Times New Roman"/>
          <w:color w:val="676B6B"/>
          <w:sz w:val="32"/>
          <w:szCs w:val="32"/>
        </w:rPr>
        <w:t>州市花都区2022年度第五十六批次城镇建设用地的请示》</w:t>
      </w:r>
      <w:r>
        <w:rPr>
          <w:rFonts w:hint="default" w:ascii="Times New Roman" w:hAnsi="Times New Roman" w:eastAsia="仿宋_GB2312" w:cs="Times New Roman"/>
          <w:color w:val="676B6B"/>
          <w:w w:val="70"/>
          <w:sz w:val="32"/>
          <w:szCs w:val="32"/>
        </w:rPr>
        <w:t>（</w:t>
      </w:r>
      <w:r>
        <w:rPr>
          <w:rFonts w:hint="default" w:ascii="Times New Roman" w:hAnsi="Times New Roman" w:eastAsia="仿宋_GB2312" w:cs="Times New Roman"/>
          <w:color w:val="676B6B"/>
          <w:sz w:val="32"/>
          <w:szCs w:val="32"/>
        </w:rPr>
        <w:t>穗规划资源</w:t>
      </w:r>
      <w:r>
        <w:rPr>
          <w:rFonts w:hint="default" w:ascii="Times New Roman" w:hAnsi="Times New Roman" w:eastAsia="仿宋_GB2312" w:cs="Times New Roman"/>
          <w:color w:val="676B6B"/>
          <w:w w:val="70"/>
          <w:sz w:val="32"/>
          <w:szCs w:val="32"/>
        </w:rPr>
        <w:t>（</w:t>
      </w:r>
      <w:r>
        <w:rPr>
          <w:rFonts w:hint="default" w:ascii="Times New Roman" w:hAnsi="Times New Roman" w:eastAsia="仿宋_GB2312" w:cs="Times New Roman"/>
          <w:color w:val="676B6B"/>
          <w:sz w:val="32"/>
          <w:szCs w:val="32"/>
        </w:rPr>
        <w:t>用地</w:t>
      </w:r>
      <w:r>
        <w:rPr>
          <w:rFonts w:hint="default" w:ascii="Times New Roman" w:hAnsi="Times New Roman" w:eastAsia="仿宋_GB2312" w:cs="Times New Roman"/>
          <w:color w:val="676B6B"/>
          <w:w w:val="70"/>
          <w:sz w:val="32"/>
          <w:szCs w:val="32"/>
        </w:rPr>
        <w:t>）</w:t>
      </w:r>
      <w:r>
        <w:rPr>
          <w:rFonts w:hint="default" w:ascii="Times New Roman" w:hAnsi="Times New Roman" w:eastAsia="仿宋_GB2312" w:cs="Times New Roman"/>
          <w:color w:val="676B6B"/>
          <w:sz w:val="32"/>
          <w:szCs w:val="32"/>
        </w:rPr>
        <w:t>报</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2023</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127号</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《广州市花都</w:t>
      </w:r>
      <w:r>
        <w:rPr>
          <w:rFonts w:hint="default" w:ascii="Times New Roman" w:hAnsi="Times New Roman" w:eastAsia="仿宋_GB2312" w:cs="Times New Roman"/>
          <w:color w:val="676B6B"/>
          <w:spacing w:val="5"/>
          <w:sz w:val="32"/>
          <w:szCs w:val="32"/>
        </w:rPr>
        <w:t>区人民政府</w:t>
      </w:r>
      <w:r>
        <w:rPr>
          <w:rFonts w:hint="default" w:ascii="Times New Roman" w:hAnsi="Times New Roman" w:eastAsia="仿宋_GB2312" w:cs="Times New Roman"/>
          <w:color w:val="676B6B"/>
          <w:sz w:val="32"/>
          <w:szCs w:val="32"/>
        </w:rPr>
        <w:t>关于申请广州市花都区2022年度第五</w:t>
      </w:r>
      <w:r>
        <w:rPr>
          <w:rFonts w:hint="default" w:ascii="Times New Roman" w:hAnsi="Times New Roman" w:eastAsia="仿宋_GB2312" w:cs="Times New Roman"/>
          <w:color w:val="676B6B"/>
          <w:spacing w:val="2"/>
          <w:sz w:val="32"/>
          <w:szCs w:val="32"/>
        </w:rPr>
        <w:t>十六批次城镇建设用地土地征收的请</w:t>
      </w:r>
      <w:r>
        <w:rPr>
          <w:rFonts w:hint="default" w:ascii="Times New Roman" w:hAnsi="Times New Roman" w:eastAsia="仿宋_GB2312" w:cs="Times New Roman"/>
          <w:color w:val="676B6B"/>
          <w:sz w:val="32"/>
          <w:szCs w:val="32"/>
        </w:rPr>
        <w:t>示》</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花府字</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2023</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42号</w:t>
      </w:r>
      <w:r>
        <w:rPr>
          <w:rFonts w:hint="default" w:ascii="Times New Roman" w:hAnsi="Times New Roman" w:eastAsia="仿宋_GB2312" w:cs="Times New Roman"/>
          <w:color w:val="676B6B"/>
          <w:w w:val="75"/>
          <w:sz w:val="32"/>
          <w:szCs w:val="32"/>
        </w:rPr>
        <w:t>）</w:t>
      </w:r>
      <w:r>
        <w:rPr>
          <w:rFonts w:hint="default" w:ascii="Times New Roman" w:hAnsi="Times New Roman" w:eastAsia="仿宋_GB2312" w:cs="Times New Roman"/>
          <w:color w:val="676B6B"/>
          <w:sz w:val="32"/>
          <w:szCs w:val="32"/>
        </w:rPr>
        <w:t>及相关材料已通过审核。根据《中华人民共和国土地管理法》第四十四、四十五、四十六条以及《广东省土地管理条例》第二十五条的有关规定，批复如下：</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一、同意使用23.2997公顷城镇建设用地</w:t>
      </w:r>
      <w:r>
        <w:rPr>
          <w:rFonts w:hint="default" w:ascii="Times New Roman" w:hAnsi="Times New Roman" w:eastAsia="仿宋_GB2312" w:cs="Times New Roman"/>
          <w:color w:val="676B6B"/>
          <w:sz w:val="32"/>
          <w:szCs w:val="32"/>
          <w:lang w:eastAsia="zh-CN"/>
        </w:rPr>
        <w:t>，</w:t>
      </w:r>
      <w:r>
        <w:rPr>
          <w:rFonts w:hint="default" w:ascii="Times New Roman" w:hAnsi="Times New Roman" w:eastAsia="仿宋_GB2312" w:cs="Times New Roman"/>
          <w:color w:val="676B6B"/>
          <w:sz w:val="32"/>
          <w:szCs w:val="32"/>
        </w:rPr>
        <w:t>即同意你市将花都区炭步镇茶塘经济联合社、茶塘第一、第二、第三、第四、第五、第六、第七、第八、第九、第十经济合作社属下的集体农用地22.0006公顷（其中耕地1.8863公顷）、未利用地0.1062公顷转为建设用地，同时使用上述有关村集体建设用地1.1929公顷，以上合计23.2997公顷集体土地一并办理征地手续。另同意你市将茶塘村地段的</w:t>
      </w:r>
      <w:r>
        <w:rPr>
          <w:rFonts w:hint="eastAsia" w:ascii="Times New Roman" w:hAnsi="Times New Roman" w:eastAsia="仿宋_GB2312" w:cs="Times New Roman"/>
          <w:color w:val="676B6B"/>
          <w:sz w:val="32"/>
          <w:szCs w:val="32"/>
          <w:lang w:val="en-US" w:eastAsia="zh-CN"/>
        </w:rPr>
        <w:t>国</w:t>
      </w:r>
      <w:r>
        <w:rPr>
          <w:rFonts w:hint="default" w:ascii="Times New Roman" w:hAnsi="Times New Roman" w:eastAsia="仿宋_GB2312" w:cs="Times New Roman"/>
          <w:color w:val="676B6B"/>
          <w:sz w:val="32"/>
          <w:szCs w:val="32"/>
        </w:rPr>
        <w:t>有农用地0.0072公顷（其中耕地0.0034公顷）转为建设用地，同时使用上述有关单位建设用地0.0863公顷。上述土地（合计23.3932公顷）经完善相关手续后由当地人民政府按照土地利用总体规划和城乡规划确定的用途供应。</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二、请你市人民政府负责落实补充耕地。督促补充耕地责任单位认真落实耕地占补平衡，补充数量相等、质量相当的耕地，对应核销耕地数量、水田规模和标准粮食产能指标（确认信息编号：440000202301398433），落实建设占用耕地耕作层土壤剥离利用。</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三、请你市人民政府按照《中华人民共和国土地管理法》有关规定，严格履行征地批后实施程序，及时足额支付补偿费用，安排被征地农民的社会保障费用，落实安置措施，妥善解决好被征地农民的生产和生活，保证原有生活水平不降低，长远生计有保障。征地补偿安置不落实的，不得动工用地。</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四、使用土地涉及有关税费的收缴或调整，请按有关规定办理。</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eastAsia" w:ascii="Times New Roman" w:hAnsi="Times New Roman" w:eastAsia="仿宋_GB2312" w:cs="Times New Roman"/>
          <w:color w:val="676B6B"/>
          <w:sz w:val="32"/>
          <w:szCs w:val="32"/>
          <w:lang w:val="en-US" w:eastAsia="zh-CN"/>
        </w:rPr>
      </w:pPr>
      <w:r>
        <w:rPr>
          <w:rFonts w:hint="eastAsia" w:ascii="Times New Roman" w:hAnsi="Times New Roman" w:eastAsia="仿宋_GB2312" w:cs="Times New Roman"/>
          <w:color w:val="676B6B"/>
          <w:sz w:val="32"/>
          <w:szCs w:val="32"/>
          <w:lang w:val="en-US" w:eastAsia="zh-CN"/>
        </w:rPr>
        <w:t>五、征地批后实施情况和具体项目工地情况须按规定报备。</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eastAsia" w:ascii="Times New Roman" w:hAnsi="Times New Roman" w:eastAsia="仿宋_GB2312" w:cs="Times New Roman"/>
          <w:color w:val="676B6B"/>
          <w:sz w:val="32"/>
          <w:szCs w:val="32"/>
          <w:lang w:val="en-US" w:eastAsia="zh-CN"/>
        </w:rPr>
      </w:pPr>
    </w:p>
    <w:p>
      <w:pPr>
        <w:pStyle w:val="4"/>
        <w:keepNext w:val="0"/>
        <w:keepLines w:val="0"/>
        <w:pageBreakBefore w:val="0"/>
        <w:widowControl w:val="0"/>
        <w:tabs>
          <w:tab w:val="left" w:pos="6111"/>
        </w:tabs>
        <w:kinsoku/>
        <w:wordWrap w:val="0"/>
        <w:overflowPunct/>
        <w:topLinePunct w:val="0"/>
        <w:autoSpaceDE/>
        <w:autoSpaceDN/>
        <w:bidi w:val="0"/>
        <w:adjustRightInd/>
        <w:snapToGrid/>
        <w:spacing w:line="560" w:lineRule="exact"/>
        <w:ind w:left="0" w:right="0" w:firstLine="799"/>
        <w:jc w:val="right"/>
        <w:textAlignment w:val="auto"/>
        <w:rPr>
          <w:rFonts w:hint="default" w:ascii="Times New Roman" w:hAnsi="Times New Roman" w:eastAsia="仿宋_GB2312" w:cs="Times New Roman"/>
          <w:color w:val="676B6B"/>
          <w:sz w:val="32"/>
          <w:szCs w:val="32"/>
          <w:lang w:val="en-US" w:eastAsia="zh-CN"/>
        </w:rPr>
      </w:pPr>
      <w:r>
        <w:rPr>
          <w:rFonts w:hint="eastAsia" w:ascii="Times New Roman" w:hAnsi="Times New Roman" w:eastAsia="仿宋_GB2312" w:cs="Times New Roman"/>
          <w:color w:val="676B6B"/>
          <w:sz w:val="32"/>
          <w:szCs w:val="32"/>
          <w:lang w:val="en-US" w:eastAsia="zh-CN"/>
        </w:rPr>
        <w:t xml:space="preserve">广东省人民政府             </w:t>
      </w:r>
    </w:p>
    <w:p>
      <w:pPr>
        <w:pStyle w:val="4"/>
        <w:keepNext w:val="0"/>
        <w:keepLines w:val="0"/>
        <w:pageBreakBefore w:val="0"/>
        <w:widowControl w:val="0"/>
        <w:tabs>
          <w:tab w:val="left" w:pos="6111"/>
        </w:tabs>
        <w:kinsoku/>
        <w:wordWrap w:val="0"/>
        <w:overflowPunct/>
        <w:topLinePunct w:val="0"/>
        <w:autoSpaceDE/>
        <w:autoSpaceDN/>
        <w:bidi w:val="0"/>
        <w:adjustRightInd/>
        <w:snapToGrid/>
        <w:spacing w:line="560" w:lineRule="exact"/>
        <w:ind w:left="0" w:right="0" w:firstLine="799"/>
        <w:jc w:val="right"/>
        <w:textAlignment w:val="auto"/>
        <w:rPr>
          <w:rFonts w:hint="default" w:ascii="Times New Roman" w:hAnsi="Times New Roman" w:eastAsia="仿宋_GB2312" w:cs="Times New Roman"/>
          <w:color w:val="676B6B"/>
          <w:sz w:val="32"/>
          <w:szCs w:val="32"/>
          <w:lang w:val="en-US" w:eastAsia="zh-CN"/>
        </w:rPr>
      </w:pPr>
      <w:r>
        <w:rPr>
          <w:rFonts w:hint="eastAsia" w:ascii="Times New Roman" w:hAnsi="Times New Roman" w:eastAsia="仿宋_GB2312" w:cs="Times New Roman"/>
          <w:color w:val="676B6B"/>
          <w:sz w:val="32"/>
          <w:szCs w:val="32"/>
          <w:lang w:val="en-US" w:eastAsia="zh-CN"/>
        </w:rPr>
        <w:t xml:space="preserve">2023年6月30日           </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right="0" w:firstLine="799"/>
        <w:jc w:val="left"/>
        <w:textAlignment w:val="auto"/>
        <w:rPr>
          <w:rFonts w:hint="default" w:ascii="Times New Roman" w:hAnsi="Times New Roman" w:eastAsia="仿宋_GB2312" w:cs="Times New Roman"/>
          <w:color w:val="676B6B"/>
          <w:sz w:val="32"/>
          <w:szCs w:val="32"/>
        </w:rPr>
      </w:pP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0" w:firstLineChars="0"/>
        <w:jc w:val="both"/>
        <w:textAlignment w:val="auto"/>
        <w:rPr>
          <w:rFonts w:hint="default" w:ascii="Times New Roman" w:hAnsi="Times New Roman" w:eastAsia="仿宋_GB2312" w:cs="Times New Roman"/>
          <w:color w:val="676B6B"/>
          <w:sz w:val="32"/>
          <w:szCs w:val="32"/>
        </w:rPr>
      </w:pPr>
      <w:r>
        <w:rPr>
          <w:rFonts w:hint="eastAsia" w:ascii="黑体" w:hAnsi="黑体" w:eastAsia="黑体" w:cs="黑体"/>
          <w:color w:val="676B6B"/>
          <w:sz w:val="36"/>
          <w:szCs w:val="36"/>
        </w:rPr>
        <w:t>公开方式：</w:t>
      </w:r>
      <w:r>
        <w:rPr>
          <w:rFonts w:hint="default" w:ascii="Times New Roman" w:hAnsi="Times New Roman" w:eastAsia="仿宋_GB2312" w:cs="Times New Roman"/>
          <w:color w:val="676B6B"/>
          <w:sz w:val="32"/>
          <w:szCs w:val="32"/>
        </w:rPr>
        <w:t>主动公开</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320" w:firstLineChars="100"/>
        <w:jc w:val="both"/>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抄送：国家自然资源督察广州</w:t>
      </w:r>
      <w:r>
        <w:rPr>
          <w:rFonts w:hint="default" w:ascii="Times New Roman" w:hAnsi="Times New Roman" w:eastAsia="仿宋_GB2312" w:cs="Times New Roman"/>
          <w:color w:val="676B6B"/>
          <w:sz w:val="32"/>
          <w:szCs w:val="32"/>
          <w:lang w:val="en-US" w:eastAsia="zh-CN"/>
        </w:rPr>
        <w:t>局</w:t>
      </w:r>
      <w:r>
        <w:rPr>
          <w:rFonts w:hint="default" w:ascii="Times New Roman" w:hAnsi="Times New Roman" w:eastAsia="仿宋_GB2312" w:cs="Times New Roman"/>
          <w:color w:val="676B6B"/>
          <w:sz w:val="32"/>
          <w:szCs w:val="32"/>
        </w:rPr>
        <w:t>，财政部广东监管局，省财政</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1280" w:firstLineChars="400"/>
        <w:jc w:val="both"/>
        <w:textAlignment w:val="auto"/>
        <w:rPr>
          <w:rFonts w:hint="default" w:ascii="Times New Roman" w:hAnsi="Times New Roman" w:eastAsia="仿宋_GB2312" w:cs="Times New Roman"/>
          <w:color w:val="676B6B"/>
          <w:sz w:val="32"/>
          <w:szCs w:val="32"/>
        </w:rPr>
      </w:pPr>
      <w:r>
        <w:rPr>
          <w:rFonts w:hint="default" w:ascii="Times New Roman" w:hAnsi="Times New Roman" w:eastAsia="仿宋_GB2312" w:cs="Times New Roman"/>
          <w:color w:val="676B6B"/>
          <w:sz w:val="32"/>
          <w:szCs w:val="32"/>
        </w:rPr>
        <w:t>厅、省人力资源和社会保障厅、省自然资源厅、省农业</w:t>
      </w:r>
    </w:p>
    <w:p>
      <w:pPr>
        <w:pStyle w:val="4"/>
        <w:keepNext w:val="0"/>
        <w:keepLines w:val="0"/>
        <w:pageBreakBefore w:val="0"/>
        <w:widowControl w:val="0"/>
        <w:tabs>
          <w:tab w:val="left" w:pos="6111"/>
        </w:tabs>
        <w:kinsoku/>
        <w:wordWrap/>
        <w:overflowPunct/>
        <w:topLinePunct w:val="0"/>
        <w:autoSpaceDE/>
        <w:autoSpaceDN/>
        <w:bidi w:val="0"/>
        <w:adjustRightInd/>
        <w:snapToGrid/>
        <w:spacing w:line="560" w:lineRule="exact"/>
        <w:ind w:left="0" w:leftChars="0" w:right="0" w:firstLine="1280" w:firstLineChars="400"/>
        <w:jc w:val="both"/>
        <w:textAlignment w:val="auto"/>
        <w:rPr>
          <w:rFonts w:hint="default" w:ascii="Times New Roman" w:hAnsi="Times New Roman" w:eastAsia="宋体" w:cs="Times New Roman"/>
          <w:sz w:val="5"/>
          <w:szCs w:val="5"/>
        </w:rPr>
      </w:pPr>
      <w:r>
        <w:rPr>
          <w:rFonts w:hint="default" w:ascii="Times New Roman" w:hAnsi="Times New Roman" w:eastAsia="仿宋_GB2312" w:cs="Times New Roman"/>
          <w:color w:val="676B6B"/>
          <w:sz w:val="32"/>
          <w:szCs w:val="32"/>
        </w:rPr>
        <w:t>农村厅、国家</w:t>
      </w:r>
      <w:r>
        <w:rPr>
          <w:rFonts w:hint="eastAsia" w:ascii="Times New Roman" w:hAnsi="Times New Roman" w:eastAsia="仿宋_GB2312" w:cs="Times New Roman"/>
          <w:color w:val="676B6B"/>
          <w:sz w:val="32"/>
          <w:szCs w:val="32"/>
          <w:lang w:eastAsia="zh-CN"/>
        </w:rPr>
        <w:t>税务</w:t>
      </w:r>
      <w:bookmarkStart w:id="0" w:name="_GoBack"/>
      <w:bookmarkEnd w:id="0"/>
      <w:r>
        <w:rPr>
          <w:rFonts w:hint="default" w:ascii="Times New Roman" w:hAnsi="Times New Roman" w:eastAsia="仿宋_GB2312" w:cs="Times New Roman"/>
          <w:color w:val="676B6B"/>
          <w:sz w:val="32"/>
          <w:szCs w:val="32"/>
        </w:rPr>
        <w:t>总</w:t>
      </w:r>
      <w:r>
        <w:rPr>
          <w:rFonts w:hint="eastAsia" w:ascii="Times New Roman" w:hAnsi="Times New Roman" w:eastAsia="仿宋_GB2312" w:cs="Times New Roman"/>
          <w:color w:val="676B6B"/>
          <w:sz w:val="32"/>
          <w:szCs w:val="32"/>
        </w:rPr>
        <w:t>局广</w:t>
      </w:r>
      <w:r>
        <w:rPr>
          <w:rFonts w:hint="eastAsia" w:ascii="仿宋_GB2312" w:hAnsi="仿宋_GB2312" w:eastAsia="仿宋_GB2312" w:cs="仿宋_GB2312"/>
          <w:color w:val="676B6B"/>
          <w:sz w:val="32"/>
          <w:szCs w:val="32"/>
        </w:rPr>
        <w:t>东省税务局。</w:t>
      </w:r>
    </w:p>
    <w:sectPr>
      <w:type w:val="continuous"/>
      <w:pgSz w:w="11920" w:h="16850"/>
      <w:pgMar w:top="1420" w:right="1360" w:bottom="280" w:left="146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drawingGridHorizontalSpacing w:val="110"/>
  <w:displayHorizontalDrawingGridEvery w:val="2"/>
  <w:characterSpacingControl w:val="doNotCompress"/>
  <w:footnotePr>
    <w:footnote w:id="0"/>
    <w:footnote w:id="1"/>
  </w:footnotePr>
  <w:endnotePr>
    <w:endnote w:id="0"/>
    <w:endnote w:id="1"/>
  </w:endnotePr>
  <w:compat>
    <w:ulTrailSpace/>
    <w:useFELayout/>
    <w:compatSetting w:name="compatibilityMode" w:uri="http://schemas.microsoft.com/office/word" w:val="12"/>
  </w:compat>
  <w:rsids>
    <w:rsidRoot w:val="00000000"/>
    <w:rsid w:val="07392973"/>
    <w:rsid w:val="4BDC4281"/>
    <w:rsid w:val="5A7E30D8"/>
    <w:rsid w:val="5FEE66B4"/>
    <w:rsid w:val="7DBB1E4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1"/>
    <w:pPr>
      <w:ind w:left="110"/>
      <w:outlineLvl w:val="1"/>
    </w:pPr>
    <w:rPr>
      <w:rFonts w:ascii="宋体" w:hAnsi="宋体" w:eastAsia="宋体"/>
      <w:sz w:val="42"/>
      <w:szCs w:val="42"/>
    </w:rPr>
  </w:style>
  <w:style w:type="paragraph" w:styleId="3">
    <w:name w:val="heading 2"/>
    <w:basedOn w:val="1"/>
    <w:next w:val="1"/>
    <w:qFormat/>
    <w:uiPriority w:val="1"/>
    <w:pPr>
      <w:spacing w:before="1"/>
      <w:ind w:left="114"/>
      <w:outlineLvl w:val="2"/>
    </w:pPr>
    <w:rPr>
      <w:rFonts w:ascii="宋体" w:hAnsi="宋体" w:eastAsia="宋体"/>
      <w:sz w:val="32"/>
      <w:szCs w:val="32"/>
    </w:rPr>
  </w:style>
  <w:style w:type="character" w:default="1" w:styleId="6">
    <w:name w:val="Default Paragraph Font"/>
    <w:semiHidden/>
    <w:unhideWhenUsed/>
    <w:qFormat/>
    <w:uiPriority w:val="1"/>
  </w:style>
  <w:style w:type="table" w:default="1" w:styleId="5">
    <w:name w:val="Normal Table"/>
    <w:semiHidden/>
    <w:qFormat/>
    <w:uiPriority w:val="0"/>
    <w:tblPr>
      <w:tblCellMar>
        <w:top w:w="0" w:type="dxa"/>
        <w:left w:w="108" w:type="dxa"/>
        <w:bottom w:w="0" w:type="dxa"/>
        <w:right w:w="108" w:type="dxa"/>
      </w:tblCellMar>
    </w:tblPr>
  </w:style>
  <w:style w:type="paragraph" w:styleId="4">
    <w:name w:val="Body Text"/>
    <w:basedOn w:val="1"/>
    <w:qFormat/>
    <w:uiPriority w:val="1"/>
    <w:pPr>
      <w:ind w:left="109"/>
    </w:pPr>
    <w:rPr>
      <w:rFonts w:ascii="宋体" w:hAnsi="宋体" w:eastAsia="宋体"/>
      <w:sz w:val="30"/>
      <w:szCs w:val="30"/>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TotalTime>3</TotalTime>
  <ScaleCrop>false</ScaleCrop>
  <LinksUpToDate>false</LinksUpToDate>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2023-08-03T10:09:00Z</dcterms:created>
  <dc:creator>HDGT</dc:creator>
  <cp:lastModifiedBy>观韬-雷玥霏</cp:lastModifiedBy>
  <dcterms:modified xsi:type="dcterms:W3CDTF">2023-08-14T07:19:16Z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2023-07-04T00:00:00Z</vt:filetime>
  </property>
  <property fmtid="{D5CDD505-2E9C-101B-9397-08002B2CF9AE}" pid="3" name="Creator">
    <vt:lpwstr>DocuCentre-IV 3065 </vt:lpwstr>
  </property>
  <property fmtid="{D5CDD505-2E9C-101B-9397-08002B2CF9AE}" pid="4" name="LastSaved">
    <vt:filetime>2023-08-03T00:00:00Z</vt:filetime>
  </property>
  <property fmtid="{D5CDD505-2E9C-101B-9397-08002B2CF9AE}" pid="5" name="KSOProductBuildVer">
    <vt:lpwstr>2052-11.8.2.10393</vt:lpwstr>
  </property>
  <property fmtid="{D5CDD505-2E9C-101B-9397-08002B2CF9AE}" pid="6" name="ICV">
    <vt:lpwstr>AE3C2AA252474C51960817F2000CAB16</vt:lpwstr>
  </property>
</Properties>
</file>