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广州市花都区2023年度第四十三批次城镇建设用地（秀全街岐山村村镇工业聚集区更新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改造项目地块一）</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广州市花都区2023年度第四十三批次城镇建设用地（秀全街岐山村村镇工业聚集区更新改造项目地块一）</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广州市花都区2023年度第四十三批次城镇建设用地（秀全街岐山村村镇工业聚集区更新改造项目地块一）</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土地面积共65.3520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139.86</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w:t>
      </w:r>
      <w:bookmarkStart w:id="0" w:name="_GoBack"/>
      <w:r>
        <w:rPr>
          <w:rFonts w:hint="eastAsia" w:ascii="仿宋_GB2312" w:hAnsi="仿宋_GB2312" w:eastAsia="仿宋_GB2312" w:cs="仿宋_GB2312"/>
          <w:color w:val="auto"/>
          <w:sz w:val="32"/>
          <w:szCs w:val="32"/>
          <w:lang w:val="en-US" w:eastAsia="zh-CN"/>
        </w:rPr>
        <w:t>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bookmarkEnd w:id="0"/>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岐山村岐东经济合作社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64.4805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137.99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岐山村经济联合社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0.8715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1.87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65.3520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139.86</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B74D22"/>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A8B480A"/>
    <w:rsid w:val="4C363821"/>
    <w:rsid w:val="4E8127CD"/>
    <w:rsid w:val="56293227"/>
    <w:rsid w:val="57B071EF"/>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2023-07-19T07:58:27Z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95197B5321A94BCD89ABB61936FE3DD5</vt:lpwstr>
  </property>
</Properties>
</file>