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关于广州市花都区2023年度第五批次</w:t>
      </w: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rPr>
          <w:rFonts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花都区花东镇、花山镇、新雅街建设规划，完善城市功能，改善城市环境，促进经济、文化发展，广州市花都区人民政府拟征收该区花东镇九一村第七经济合作社、第八经济合作社、第九经济合作社、九一经济联合社属下的集体土地2.7142公顷；花东镇李溪村第四经济合作社、第五经济合作社、第六经济合作社、第七经济合作社、第八经济合作社、第九经济合作社、第十经济合作社、第十一经济合作社、第十二经济合作社、第十三经济合作社、第十八经济合作社、李溪经济联合社属下的集体土地4.5015公顷；花东镇七庄村第一经济合作社、第二经济合作社、第四经济合作社属下的集体土地0.9895公顷；花东镇山下村第一经济合作社属下的集体土地0.9939公顷；花山镇东湖村第二十经济合作社、第二十一经济合作社、第二十三经济合作社、第二十五经济合作社、第二十六经济合作社属下的集体土地14.5310公顷；花山镇平东村第八经济合作社、第九经济合作社、第十经济合作社、第十一经济合作社、第十二经济合作社、桥头经济合作社、平东村经济联合社属下的集体土地32.7089公顷；新雅街广塘村南二经济合作社属下的集体土地1.0280公顷；以上共计57.4670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九一村第七经济合作社、第八经济合作社、第九经济合作社、九一经济联合社；花东镇李溪村第四经济合作社、第五经济合作社、第六经济合作社、第七经济合作社、第八经济合作社、第九经济合作社、第十经济合作社、第十一经济合作社、第十二经济合作社、第十三经济合作社、第十八经济合作社、李溪经济联合社；花东镇七庄村第一经济合作社、第二经济合作社、第四经济合作社；花东镇山下村第一经济合作社；花山镇东湖村第二十经济合作社、第二十一经济合作社、第二十三经济合作社、第二十五经济合作社、第二十六经济合作社；花山镇平东村第八经济合作社、第九经济合作社、第十经济合作社、第十一经济合作社、第十二经济合作社、桥头经济合作社、平东村经济联合社；新雅街广塘村南二经济合作社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年度第五批次城镇建设用地。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东镇九一村第七经济合作社、第八经济合作社、第九经济合作社、九一经济联合社属下的集体土地2.7142公顷（40.7130亩）。其中农用地2.7142公顷（40.7130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李溪村第四经济合作社、第五经济合作社、第六经济合作社、第七经济合作社、第八经济合作社、第九经济合作社、第十经济合作社、第十一经济合作社、第十二经济合作社、第十三经济合作社、第十八经济合作社、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4.5015公顷（67.5225亩）。其中农用地3.6745公顷（55.1175亩），含耕地0.2116公顷（3.1740亩），建设用地0.8270公顷（12.4050亩），不涉及未利用地。根据用地报批地类还原相关规则，上述征收地块报批地类为农用地4.1885公顷（62.8275亩），含耕地0.2479公顷（3.7185亩），建设用地0.3130公顷（4.6950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七庄村第一经济合作社、第二经济合作社、第四经济合作社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0.9895公顷（14.8425亩）。其中农用地0.5706公顷（8.5590亩），不涉及耕地，建设用地0.4189公顷（6.2835亩），不涉及未利用地。根据用地报批地类还原相关规则，上述征收地块报批地类为农用地0.8926公顷（13.3890亩），不涉及耕地，建设用地0.0969公顷（1.4535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山下村第一经济合作社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0.9939公顷（14.9085亩）。其中农用地0.9759公顷（14.6385亩），不涉及耕地，建设用地0.0180公顷（0.2700亩），不涉及未利用地。根据用地报批地类还原相关规则，上述征收地块报批地类为农用地0.9939公顷（14.9085亩），含耕地0.0002公顷（0.0030亩），不涉及建设用地，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（五）拟征收广州市花都区花山镇东湖村第二十经济合作社、第二十一经济合作社、第二十三经济合作社、第二十五经济合作社、第二十六经济合作社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14.5310公顷（217.9650亩）。其中农用地13.7389公顷（206.0835亩），含耕地4.8361公顷（72.5415亩），建设用地0.7921公顷（11.8815亩），不涉及未利用地。根据用地报批地类还原相关规则，上述征收地块报批地类为农用地14.0573公顷（210.8595亩），含耕地4.9308公顷（73.9620亩），建设用地0.4737公顷（7.1055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（六）拟征收广州市花都区花山镇平东村第八经济合作社、第九经济合作社、第十经济合作社、第十一经济合作社、第十二经济合作社、桥头经济合作社、平东村经济联合社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32.7089公顷（490.6335亩）。其中农用地21.0396公顷（315.5940亩），含耕地4.5516公顷（68.2740亩），建设用地11.6693公顷（175.0395亩），不涉及未利用地。根据用地报批地类还原相关规则，上述征收地块报批地类为农用地24.9985公顷（374.9775亩），含耕地5.9756公顷（89.6340亩），建设用地7.7104公顷（115.6560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（七）拟征收广州市花都区新雅街广塘村南二经济合作社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下的集体土地1.0280公顷（15.4200亩）。其中农用地1.0280公顷（15.4200亩），不涉及耕地，不涉及建设用地，不涉及未利用地。根据用地报批地类还原相关规则，征收地块报批地类与土地现状调查地类的情况一致。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bookmarkStart w:id="0" w:name="_GoBack"/>
      <w:bookmarkEnd w:id="0"/>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892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1445.04万元，专款用于被征地农民缴纳养老保险费用。征地批准文件批复的实际范围有变化的，费用将做相应调整。</w:t>
      </w:r>
    </w:p>
    <w:p>
      <w:pPr>
        <w:spacing w:line="560" w:lineRule="exact"/>
        <w:jc w:val="right"/>
        <w:rPr>
          <w:rFonts w:ascii="Times New Roman" w:hAnsi="Times New Roman" w:eastAsia="仿宋_GB2312" w:cs="Times New Roman"/>
          <w:sz w:val="32"/>
          <w:szCs w:val="32"/>
          <w:lang w:eastAsia="zh-CN"/>
        </w:rPr>
      </w:pPr>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5</w:t>
      </w:r>
      <w:r>
        <w:rPr>
          <w:rFonts w:ascii="Times New Roman" w:hAnsi="Times New Roman" w:eastAsia="仿宋_GB2312" w:cs="Times New Roman"/>
          <w:lang w:eastAsia="zh-CN"/>
        </w:rPr>
        <w:t>月</w:t>
      </w:r>
      <w:r>
        <w:rPr>
          <w:rFonts w:hint="eastAsia" w:ascii="Times New Roman" w:hAnsi="Times New Roman" w:eastAsia="仿宋_GB2312" w:cs="Times New Roman"/>
          <w:spacing w:val="-35"/>
          <w:lang w:eastAsia="zh-CN"/>
        </w:rPr>
        <w:t>17</w:t>
      </w:r>
      <w:r>
        <w:rPr>
          <w:rFonts w:ascii="Times New Roman" w:hAnsi="Times New Roman" w:eastAsia="仿宋_GB2312" w:cs="Times New Roman"/>
          <w:lang w:eastAsia="zh-CN"/>
        </w:rPr>
        <w:t>日</w:t>
      </w:r>
    </w:p>
    <w:sectPr>
      <w:footerReference r:id="rId3" w:type="default"/>
      <w:pgSz w:w="11910" w:h="16840"/>
      <w:pgMar w:top="196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91058"/>
    <w:rsid w:val="000940DF"/>
    <w:rsid w:val="000A7D65"/>
    <w:rsid w:val="000C0153"/>
    <w:rsid w:val="000F6994"/>
    <w:rsid w:val="00113B39"/>
    <w:rsid w:val="001712E7"/>
    <w:rsid w:val="00191469"/>
    <w:rsid w:val="001B49FF"/>
    <w:rsid w:val="001E02F4"/>
    <w:rsid w:val="001F6CA5"/>
    <w:rsid w:val="00247709"/>
    <w:rsid w:val="00281B28"/>
    <w:rsid w:val="0029577D"/>
    <w:rsid w:val="002A0CD0"/>
    <w:rsid w:val="002E542B"/>
    <w:rsid w:val="002F258F"/>
    <w:rsid w:val="00305982"/>
    <w:rsid w:val="00365B60"/>
    <w:rsid w:val="003A4B7A"/>
    <w:rsid w:val="003B4D3E"/>
    <w:rsid w:val="003C238F"/>
    <w:rsid w:val="003C48FF"/>
    <w:rsid w:val="003C5ED4"/>
    <w:rsid w:val="003D0A93"/>
    <w:rsid w:val="003F59DC"/>
    <w:rsid w:val="0043341C"/>
    <w:rsid w:val="00477226"/>
    <w:rsid w:val="00515606"/>
    <w:rsid w:val="00593054"/>
    <w:rsid w:val="005A500B"/>
    <w:rsid w:val="005B1ED0"/>
    <w:rsid w:val="005B44A3"/>
    <w:rsid w:val="005D7DD4"/>
    <w:rsid w:val="005E4D77"/>
    <w:rsid w:val="006268B6"/>
    <w:rsid w:val="006572EB"/>
    <w:rsid w:val="0069310B"/>
    <w:rsid w:val="006932C8"/>
    <w:rsid w:val="006C2836"/>
    <w:rsid w:val="0076081D"/>
    <w:rsid w:val="007F28EB"/>
    <w:rsid w:val="008164E3"/>
    <w:rsid w:val="00817732"/>
    <w:rsid w:val="00841BC7"/>
    <w:rsid w:val="008D1C65"/>
    <w:rsid w:val="00975342"/>
    <w:rsid w:val="00A116C0"/>
    <w:rsid w:val="00A3522B"/>
    <w:rsid w:val="00A64BE4"/>
    <w:rsid w:val="00A873E6"/>
    <w:rsid w:val="00AF2A2B"/>
    <w:rsid w:val="00B4784D"/>
    <w:rsid w:val="00B526FE"/>
    <w:rsid w:val="00BC2895"/>
    <w:rsid w:val="00BF6098"/>
    <w:rsid w:val="00C31064"/>
    <w:rsid w:val="00C9568B"/>
    <w:rsid w:val="00CA0CF7"/>
    <w:rsid w:val="00CC53A9"/>
    <w:rsid w:val="00CF01D2"/>
    <w:rsid w:val="00D42085"/>
    <w:rsid w:val="00D62CAB"/>
    <w:rsid w:val="00DC1D15"/>
    <w:rsid w:val="00DF0B0B"/>
    <w:rsid w:val="00E214D8"/>
    <w:rsid w:val="00E8389F"/>
    <w:rsid w:val="00F146F5"/>
    <w:rsid w:val="00F8736F"/>
    <w:rsid w:val="00FD0BD1"/>
    <w:rsid w:val="00FD2C6E"/>
    <w:rsid w:val="0BF92914"/>
    <w:rsid w:val="0C890300"/>
    <w:rsid w:val="0EE60F82"/>
    <w:rsid w:val="12D73838"/>
    <w:rsid w:val="2FEB29A5"/>
    <w:rsid w:val="34394804"/>
    <w:rsid w:val="79AB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554</Words>
  <Characters>3159</Characters>
  <Lines>26</Lines>
  <Paragraphs>7</Paragraphs>
  <TotalTime>0</TotalTime>
  <ScaleCrop>false</ScaleCrop>
  <LinksUpToDate>false</LinksUpToDate>
  <CharactersWithSpaces>3706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欧高清</cp:lastModifiedBy>
  <cp:lastPrinted>2023-05-19T07:40:00Z</cp:lastPrinted>
  <dcterms:modified xsi:type="dcterms:W3CDTF">2023-05-23T10:33:16Z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