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highlight w:val="none"/>
        </w:rPr>
      </w:pPr>
    </w:p>
    <w:p>
      <w:pPr>
        <w:jc w:val="center"/>
        <w:rPr>
          <w:rFonts w:hint="default" w:ascii="Times New Roman" w:hAnsi="Times New Roman"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关于</w:t>
      </w:r>
      <w:r>
        <w:rPr>
          <w:rFonts w:hint="eastAsia" w:ascii="方正小标宋简体" w:hAnsi="方正小标宋简体" w:eastAsia="方正小标宋简体" w:cs="方正小标宋简体"/>
          <w:sz w:val="44"/>
          <w:szCs w:val="44"/>
          <w:highlight w:val="none"/>
          <w:lang w:eastAsia="zh-CN"/>
        </w:rPr>
        <w:t>广州市花都区</w:t>
      </w:r>
      <w:r>
        <w:rPr>
          <w:rFonts w:hint="eastAsia" w:ascii="方正小标宋简体" w:hAnsi="方正小标宋简体" w:eastAsia="方正小标宋简体" w:cs="方正小标宋简体"/>
          <w:sz w:val="44"/>
          <w:szCs w:val="44"/>
          <w:highlight w:val="none"/>
          <w:lang w:val="en-US" w:eastAsia="zh-CN"/>
        </w:rPr>
        <w:t>2022年度第五十八批次城镇建设用地（</w:t>
      </w:r>
      <w:r>
        <w:rPr>
          <w:rFonts w:hint="eastAsia" w:ascii="方正小标宋简体" w:hAnsi="方正小标宋简体" w:eastAsia="方正小标宋简体" w:cs="方正小标宋简体"/>
          <w:sz w:val="44"/>
          <w:szCs w:val="44"/>
          <w:highlight w:val="none"/>
        </w:rPr>
        <w:t>广东省中医临床研究院花都院区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rPr>
      </w:pPr>
      <w:r>
        <w:rPr>
          <w:rFonts w:hint="eastAsia" w:ascii="方正小标宋简体" w:hAnsi="方正小标宋简体" w:eastAsia="方正小标宋简体" w:cs="方正小标宋简体"/>
          <w:sz w:val="44"/>
          <w:szCs w:val="44"/>
          <w:highlight w:val="none"/>
        </w:rPr>
        <w:t>一期工程</w:t>
      </w:r>
      <w:bookmarkStart w:id="0" w:name="_GoBack"/>
      <w:bookmarkEnd w:id="0"/>
      <w:r>
        <w:rPr>
          <w:rFonts w:hint="eastAsia" w:ascii="方正小标宋简体" w:hAnsi="方正小标宋简体" w:eastAsia="方正小标宋简体" w:cs="方正小标宋简体"/>
          <w:sz w:val="44"/>
          <w:szCs w:val="44"/>
          <w:highlight w:val="none"/>
          <w:lang w:val="en-US" w:eastAsia="zh-CN"/>
        </w:rPr>
        <w:t>）</w:t>
      </w:r>
      <w:r>
        <w:rPr>
          <w:rFonts w:hint="eastAsia" w:ascii="方正小标宋简体" w:hAnsi="方正小标宋简体" w:eastAsia="方正小标宋简体" w:cs="方正小标宋简体"/>
          <w:sz w:val="44"/>
          <w:szCs w:val="44"/>
          <w:highlight w:val="none"/>
        </w:rPr>
        <w:t>项目的征地补偿安置方案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为实</w:t>
      </w:r>
      <w:r>
        <w:rPr>
          <w:rFonts w:hint="eastAsia" w:ascii="仿宋_GB2312" w:hAnsi="仿宋_GB2312" w:eastAsia="仿宋_GB2312" w:cs="仿宋_GB2312"/>
          <w:sz w:val="32"/>
          <w:highlight w:val="none"/>
        </w:rPr>
        <w:t>施广州市花都区</w:t>
      </w:r>
      <w:r>
        <w:rPr>
          <w:rFonts w:hint="eastAsia" w:ascii="仿宋_GB2312" w:hAnsi="仿宋_GB2312" w:eastAsia="仿宋_GB2312" w:cs="仿宋_GB2312"/>
          <w:sz w:val="32"/>
          <w:highlight w:val="none"/>
          <w:lang w:val="en-US" w:eastAsia="zh-CN"/>
        </w:rPr>
        <w:t>广州市花都区花山镇</w:t>
      </w:r>
      <w:r>
        <w:rPr>
          <w:rFonts w:hint="eastAsia" w:ascii="仿宋_GB2312" w:hAnsi="仿宋_GB2312" w:eastAsia="仿宋_GB2312" w:cs="仿宋_GB2312"/>
          <w:sz w:val="32"/>
          <w:highlight w:val="none"/>
        </w:rPr>
        <w:t>建设规划，完善城市功能，改善城市环境，促进经济、文化发展。我区拟征收</w:t>
      </w:r>
      <w:r>
        <w:rPr>
          <w:rFonts w:hint="eastAsia" w:ascii="仿宋_GB2312" w:hAnsi="仿宋_GB2312" w:eastAsia="仿宋_GB2312" w:cs="仿宋_GB2312"/>
          <w:sz w:val="32"/>
          <w:highlight w:val="none"/>
          <w:lang w:eastAsia="zh-CN"/>
        </w:rPr>
        <w:t>广州市花都区花山镇平山村上村经济合作社、下村经济合作社</w:t>
      </w:r>
      <w:r>
        <w:rPr>
          <w:rFonts w:hint="default" w:ascii="Times New Roman" w:hAnsi="Times New Roman" w:eastAsia="仿宋_GB2312" w:cs="Times New Roman"/>
          <w:sz w:val="32"/>
          <w:highlight w:val="none"/>
        </w:rPr>
        <w:t>属下的集体土地</w:t>
      </w:r>
      <w:r>
        <w:rPr>
          <w:rFonts w:hint="eastAsia" w:eastAsia="仿宋_GB2312" w:cs="Times New Roman"/>
          <w:sz w:val="32"/>
          <w:highlight w:val="none"/>
          <w:lang w:val="en-US" w:eastAsia="zh-CN"/>
        </w:rPr>
        <w:t>10.8528</w:t>
      </w:r>
      <w:r>
        <w:rPr>
          <w:rFonts w:hint="default" w:ascii="Times New Roman" w:hAnsi="Times New Roman" w:eastAsia="仿宋_GB2312" w:cs="Times New Roman"/>
          <w:sz w:val="32"/>
          <w:highlight w:val="none"/>
        </w:rPr>
        <w:t>公顷。根据《中华人民共和国土地管理法》第二条、第四十五条、第四十七条有关规定精神、《广东省土地管理条例》第三十条等规定，结合我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一、征收集体土地情况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cs="Times New Roman"/>
          <w:sz w:val="32"/>
          <w:highlight w:val="none"/>
          <w:lang w:val="en-US" w:eastAsia="zh-CN"/>
        </w:rPr>
      </w:pPr>
      <w:r>
        <w:rPr>
          <w:rFonts w:hint="default" w:ascii="Times New Roman" w:hAnsi="Times New Roman" w:eastAsia="仿宋_GB2312" w:cs="Times New Roman"/>
          <w:sz w:val="32"/>
          <w:highlight w:val="none"/>
        </w:rPr>
        <w:t>征收广州市</w:t>
      </w:r>
      <w:r>
        <w:rPr>
          <w:rFonts w:hint="eastAsia" w:ascii="仿宋_GB2312" w:hAnsi="仿宋_GB2312" w:eastAsia="仿宋_GB2312" w:cs="仿宋_GB2312"/>
          <w:sz w:val="32"/>
          <w:highlight w:val="none"/>
          <w:lang w:eastAsia="zh-CN"/>
        </w:rPr>
        <w:t>花都区花山镇平山村上村经济合作社、下村经济合作社</w:t>
      </w:r>
      <w:r>
        <w:rPr>
          <w:rFonts w:hint="default" w:ascii="Times New Roman" w:hAnsi="Times New Roman" w:eastAsia="仿宋_GB2312" w:cs="Times New Roman"/>
          <w:sz w:val="32"/>
          <w:szCs w:val="32"/>
          <w:highlight w:val="none"/>
        </w:rPr>
        <w:t>集体土地</w:t>
      </w:r>
      <w:r>
        <w:rPr>
          <w:rFonts w:hint="default" w:ascii="Times New Roman" w:hAnsi="Times New Roman" w:eastAsia="仿宋_GB2312" w:cs="Times New Roman"/>
          <w:sz w:val="32"/>
          <w:highlight w:val="none"/>
        </w:rPr>
        <w:t>面积</w:t>
      </w:r>
      <w:r>
        <w:rPr>
          <w:rFonts w:hint="eastAsia" w:eastAsia="仿宋_GB2312" w:cs="Times New Roman"/>
          <w:sz w:val="32"/>
          <w:szCs w:val="32"/>
          <w:highlight w:val="none"/>
          <w:lang w:val="en-US" w:eastAsia="zh-CN"/>
        </w:rPr>
        <w:t>10.8528</w:t>
      </w:r>
      <w:r>
        <w:rPr>
          <w:rFonts w:hint="default" w:ascii="Times New Roman" w:hAnsi="Times New Roman" w:eastAsia="仿宋_GB2312" w:cs="Times New Roman"/>
          <w:sz w:val="32"/>
          <w:highlight w:val="none"/>
        </w:rPr>
        <w:t>公顷，</w:t>
      </w:r>
      <w:r>
        <w:rPr>
          <w:rFonts w:hint="eastAsia" w:eastAsia="仿宋_GB2312" w:cs="Times New Roman"/>
          <w:sz w:val="32"/>
          <w:highlight w:val="none"/>
          <w:lang w:eastAsia="zh-CN"/>
        </w:rPr>
        <w:t>其中农用地</w:t>
      </w:r>
      <w:r>
        <w:rPr>
          <w:rFonts w:hint="eastAsia" w:eastAsia="仿宋_GB2312" w:cs="Times New Roman"/>
          <w:sz w:val="32"/>
          <w:highlight w:val="none"/>
          <w:lang w:val="en-US" w:eastAsia="zh-CN"/>
        </w:rPr>
        <w:t>10.8528公顷（耕地3.2177公顷、园地7.0609公顷、不涉及林地、草地0.0030公顷、其他农用地0.5712公顷）、不涉及</w:t>
      </w:r>
      <w:r>
        <w:rPr>
          <w:rFonts w:hint="default" w:ascii="Times New Roman" w:hAnsi="Times New Roman" w:eastAsia="仿宋_GB2312" w:cs="Times New Roman"/>
          <w:sz w:val="32"/>
          <w:highlight w:val="none"/>
        </w:rPr>
        <w:t>建设用地</w:t>
      </w:r>
      <w:r>
        <w:rPr>
          <w:rFonts w:hint="eastAsia" w:eastAsia="仿宋_GB2312" w:cs="Times New Roman"/>
          <w:sz w:val="32"/>
          <w:highlight w:val="none"/>
          <w:lang w:val="en-US" w:eastAsia="zh-CN"/>
        </w:rPr>
        <w:t>、不涉及未利用地。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二、征地补偿标准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方正小标宋简体"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highlight w:val="none"/>
        </w:rPr>
        <w:t>（一）土地补偿费与安置补助费</w:t>
      </w:r>
    </w:p>
    <w:p>
      <w:pPr>
        <w:spacing w:line="620" w:lineRule="exact"/>
        <w:jc w:val="center"/>
        <w:rPr>
          <w:rFonts w:hint="default" w:ascii="Times New Roman" w:hAnsi="Times New Roman" w:eastAsia="方正小标宋简体" w:cs="Times New Roman"/>
          <w:sz w:val="32"/>
          <w:szCs w:val="32"/>
          <w:highlight w:val="none"/>
        </w:rPr>
      </w:pPr>
    </w:p>
    <w:p>
      <w:pPr>
        <w:spacing w:line="620" w:lineRule="exact"/>
        <w:jc w:val="center"/>
        <w:rPr>
          <w:rFonts w:hint="default" w:ascii="Times New Roman" w:hAnsi="Times New Roman" w:eastAsia="方正小标宋简体" w:cs="Times New Roman"/>
          <w:sz w:val="32"/>
          <w:szCs w:val="32"/>
          <w:highlight w:val="none"/>
        </w:rPr>
      </w:pPr>
    </w:p>
    <w:p>
      <w:pPr>
        <w:spacing w:line="620" w:lineRule="exact"/>
        <w:jc w:val="center"/>
        <w:rPr>
          <w:rFonts w:hint="default" w:ascii="Times New Roman" w:hAnsi="Times New Roman" w:eastAsia="方正小标宋简体" w:cs="Times New Roman"/>
          <w:sz w:val="32"/>
          <w:szCs w:val="32"/>
          <w:highlight w:val="none"/>
        </w:rPr>
      </w:pPr>
    </w:p>
    <w:p>
      <w:pPr>
        <w:spacing w:line="620" w:lineRule="exact"/>
        <w:jc w:val="center"/>
        <w:rPr>
          <w:rFonts w:hint="default" w:ascii="Times New Roman" w:hAnsi="Times New Roman" w:eastAsia="仿宋_GB2312" w:cs="Times New Roman"/>
          <w:sz w:val="24"/>
          <w:highlight w:val="none"/>
        </w:rPr>
      </w:pPr>
      <w:r>
        <w:rPr>
          <w:rFonts w:hint="default" w:ascii="Times New Roman" w:hAnsi="Times New Roman" w:eastAsia="方正小标宋简体" w:cs="Times New Roman"/>
          <w:sz w:val="32"/>
          <w:szCs w:val="32"/>
          <w:highlight w:val="none"/>
        </w:rPr>
        <w:t>土地补偿费与安置补助费一览表（一）</w:t>
      </w:r>
    </w:p>
    <w:p>
      <w:pPr>
        <w:spacing w:line="620" w:lineRule="exact"/>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24"/>
          <w:highlight w:val="none"/>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215"/>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单位</w:t>
            </w:r>
          </w:p>
        </w:tc>
        <w:tc>
          <w:tcPr>
            <w:tcW w:w="1541" w:type="dxa"/>
            <w:gridSpan w:val="2"/>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土地类别</w:t>
            </w:r>
          </w:p>
        </w:tc>
        <w:tc>
          <w:tcPr>
            <w:tcW w:w="1124" w:type="dxa"/>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面积</w:t>
            </w:r>
          </w:p>
        </w:tc>
        <w:tc>
          <w:tcPr>
            <w:tcW w:w="2155" w:type="dxa"/>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土地补偿费</w:t>
            </w:r>
          </w:p>
        </w:tc>
        <w:tc>
          <w:tcPr>
            <w:tcW w:w="2209" w:type="dxa"/>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安置补助费</w:t>
            </w:r>
          </w:p>
        </w:tc>
        <w:tc>
          <w:tcPr>
            <w:tcW w:w="1297" w:type="dxa"/>
            <w:tcBorders>
              <w:bottom w:val="single" w:color="auto" w:sz="4" w:space="0"/>
            </w:tcBorders>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hint="default" w:ascii="Times New Roman" w:hAnsi="Times New Roman" w:eastAsia="仿宋_GB2312" w:cs="Times New Roman"/>
                <w:b/>
                <w:bCs/>
                <w:sz w:val="24"/>
                <w:highlight w:val="none"/>
              </w:rPr>
            </w:pPr>
          </w:p>
        </w:tc>
        <w:tc>
          <w:tcPr>
            <w:tcW w:w="1541" w:type="dxa"/>
            <w:gridSpan w:val="2"/>
            <w:vMerge w:val="continue"/>
            <w:vAlign w:val="center"/>
          </w:tcPr>
          <w:p>
            <w:pPr>
              <w:jc w:val="center"/>
              <w:rPr>
                <w:rFonts w:hint="default" w:ascii="Times New Roman" w:hAnsi="Times New Roman" w:eastAsia="仿宋_GB2312" w:cs="Times New Roman"/>
                <w:b/>
                <w:bCs/>
                <w:sz w:val="24"/>
                <w:highlight w:val="none"/>
              </w:rPr>
            </w:pPr>
          </w:p>
        </w:tc>
        <w:tc>
          <w:tcPr>
            <w:tcW w:w="1124" w:type="dxa"/>
            <w:vMerge w:val="continue"/>
            <w:vAlign w:val="center"/>
          </w:tcPr>
          <w:p>
            <w:pPr>
              <w:jc w:val="center"/>
              <w:rPr>
                <w:rFonts w:hint="default" w:ascii="Times New Roman" w:hAnsi="Times New Roman" w:eastAsia="仿宋_GB2312" w:cs="Times New Roman"/>
                <w:b/>
                <w:bCs/>
                <w:sz w:val="24"/>
                <w:highlight w:val="none"/>
              </w:rPr>
            </w:pPr>
          </w:p>
        </w:tc>
        <w:tc>
          <w:tcPr>
            <w:tcW w:w="992"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1163"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994"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1215"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1297" w:type="dxa"/>
            <w:tcBorders>
              <w:tl2br w:val="single" w:color="auto" w:sz="4" w:space="0"/>
              <w:tr2bl w:val="nil"/>
            </w:tcBorders>
            <w:vAlign w:val="center"/>
          </w:tcPr>
          <w:p>
            <w:pPr>
              <w:jc w:val="center"/>
              <w:rPr>
                <w:rFonts w:hint="default" w:ascii="Times New Roman" w:hAnsi="Times New Roman" w:eastAsia="仿宋_GB2312" w:cs="Times New Roman"/>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hint="eastAsia"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rPr>
              <w:t>广州市花都区花山镇平山村上村经济合作社</w:t>
            </w:r>
            <w:r>
              <w:rPr>
                <w:rFonts w:hint="eastAsia" w:eastAsia="仿宋_GB2312" w:cs="Times New Roman"/>
                <w:sz w:val="24"/>
                <w:highlight w:val="none"/>
                <w:lang w:eastAsia="zh-CN"/>
              </w:rPr>
              <w:t>、下村经济合作社</w:t>
            </w:r>
          </w:p>
        </w:tc>
        <w:tc>
          <w:tcPr>
            <w:tcW w:w="567" w:type="dxa"/>
            <w:vMerge w:val="restart"/>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耕地</w:t>
            </w: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0.1521</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18252</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215"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18252</w:t>
            </w: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36.504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567" w:type="dxa"/>
            <w:vMerge w:val="continue"/>
            <w:vAlign w:val="center"/>
          </w:tcPr>
          <w:p>
            <w:pPr>
              <w:jc w:val="center"/>
              <w:rPr>
                <w:rFonts w:hint="default" w:ascii="Times New Roman" w:hAnsi="Times New Roman" w:eastAsia="仿宋_GB2312" w:cs="Times New Roman"/>
                <w:sz w:val="24"/>
                <w:highlight w:val="none"/>
              </w:rPr>
            </w:pP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水浇地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3.0656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367.872</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215"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367.872</w:t>
            </w: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735.744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567" w:type="dxa"/>
            <w:vMerge w:val="continue"/>
            <w:vAlign w:val="center"/>
          </w:tcPr>
          <w:p>
            <w:pPr>
              <w:jc w:val="center"/>
              <w:rPr>
                <w:rFonts w:hint="default" w:ascii="Times New Roman" w:hAnsi="Times New Roman" w:eastAsia="仿宋_GB2312" w:cs="Times New Roman"/>
                <w:sz w:val="24"/>
                <w:highlight w:val="none"/>
              </w:rPr>
            </w:pP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旱地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215"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园地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7.0609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847.308</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215"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847.308</w:t>
            </w: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1694.616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林地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215"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eastAsia" w:ascii="Times New Roman" w:hAnsi="Times New Roman" w:eastAsia="仿宋_GB2312" w:cs="Times New Roman"/>
                <w:sz w:val="24"/>
                <w:highlight w:val="none"/>
                <w:lang w:eastAsia="zh-CN"/>
              </w:rPr>
            </w:pPr>
            <w:r>
              <w:rPr>
                <w:rFonts w:hint="eastAsia" w:eastAsia="仿宋_GB2312" w:cs="Times New Roman"/>
                <w:sz w:val="24"/>
                <w:highlight w:val="none"/>
                <w:lang w:eastAsia="zh-CN"/>
              </w:rPr>
              <w:t>草地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0.0030</w:t>
            </w:r>
          </w:p>
        </w:tc>
        <w:tc>
          <w:tcPr>
            <w:tcW w:w="992" w:type="dxa"/>
            <w:vAlign w:val="center"/>
          </w:tcPr>
          <w:p>
            <w:pPr>
              <w:jc w:val="center"/>
              <w:rPr>
                <w:rFonts w:hint="eastAsia"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0.36</w:t>
            </w:r>
          </w:p>
        </w:tc>
        <w:tc>
          <w:tcPr>
            <w:tcW w:w="994" w:type="dxa"/>
            <w:vAlign w:val="center"/>
          </w:tcPr>
          <w:p>
            <w:pPr>
              <w:jc w:val="center"/>
              <w:rPr>
                <w:rFonts w:hint="eastAsia"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215"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0.36</w:t>
            </w: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其他农用地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0.5712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68.544</w:t>
            </w:r>
          </w:p>
        </w:tc>
        <w:tc>
          <w:tcPr>
            <w:tcW w:w="994" w:type="dxa"/>
            <w:tcBorders>
              <w:bottom w:val="single" w:color="auto" w:sz="4" w:space="0"/>
            </w:tcBorders>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215" w:type="dxa"/>
            <w:tcBorders>
              <w:bottom w:val="single" w:color="auto" w:sz="4" w:space="0"/>
            </w:tcBorders>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68.544</w:t>
            </w: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137.088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建设用地</w:t>
            </w:r>
          </w:p>
        </w:tc>
        <w:tc>
          <w:tcPr>
            <w:tcW w:w="1124" w:type="dxa"/>
            <w:vAlign w:val="center"/>
          </w:tcPr>
          <w:p>
            <w:pPr>
              <w:jc w:val="center"/>
              <w:rPr>
                <w:rFonts w:hint="eastAsia"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240</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4" w:type="dxa"/>
            <w:tcBorders>
              <w:bottom w:val="single" w:color="auto" w:sz="4" w:space="0"/>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215" w:type="dxa"/>
            <w:tcBorders>
              <w:bottom w:val="single" w:color="auto" w:sz="4" w:space="0"/>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未利用地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240</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4" w:type="dxa"/>
            <w:tcBorders>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215" w:type="dxa"/>
            <w:tcBorders>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7029" w:type="dxa"/>
            <w:gridSpan w:val="7"/>
            <w:vAlign w:val="center"/>
          </w:tcPr>
          <w:p>
            <w:pPr>
              <w:jc w:val="center"/>
              <w:rPr>
                <w:rFonts w:hint="default" w:ascii="Times New Roman" w:hAnsi="Times New Roman" w:cs="Times New Roman" w:eastAsiaTheme="minorEastAsia"/>
                <w:szCs w:val="21"/>
                <w:highlight w:val="none"/>
              </w:rPr>
            </w:pPr>
            <w:r>
              <w:rPr>
                <w:rFonts w:hint="default" w:ascii="Times New Roman" w:hAnsi="Times New Roman" w:eastAsia="仿宋_GB2312" w:cs="Times New Roman"/>
                <w:sz w:val="24"/>
                <w:highlight w:val="none"/>
              </w:rPr>
              <w:t>土地补偿费与安置补助费合计</w:t>
            </w: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2604.672</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简体" w:cs="Times New Roman"/>
          <w:sz w:val="32"/>
          <w:szCs w:val="32"/>
          <w:highlight w:val="none"/>
        </w:rPr>
      </w:pPr>
      <w:r>
        <w:rPr>
          <w:rFonts w:hint="default" w:ascii="Times New Roman" w:hAnsi="Times New Roman" w:eastAsia="仿宋_GB2312" w:cs="Times New Roman"/>
          <w:sz w:val="32"/>
          <w:szCs w:val="32"/>
          <w:highlight w:val="none"/>
        </w:rPr>
        <w:t>备注：因被征收土地的现状调查数据变化导致补偿金额调整的</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在支付补偿款时重新计算补偿金额并作出差额补足。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（二）青苗补偿费及地上附着物补偿费。征地范围内的青苗补偿费及地上附着物补偿费等其他补偿费用按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《广州市花都区人民政府办公室印发花都区</w:t>
      </w:r>
      <w:r>
        <w:rPr>
          <w:rFonts w:hint="eastAsia" w:eastAsia="仿宋_GB2312" w:cs="Times New Roman"/>
          <w:color w:val="000000" w:themeColor="text1"/>
          <w:sz w:val="32"/>
          <w:szCs w:val="32"/>
          <w:highlight w:val="none"/>
          <w:lang w:eastAsia="zh-CN"/>
          <w14:textFill>
            <w14:solidFill>
              <w14:schemeClr w14:val="tx1"/>
            </w14:solidFill>
          </w14:textFill>
        </w:rPr>
        <w:t>片区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征地包干补偿工作方案的通知》(花府办〔2016〕12号）</w:t>
      </w:r>
      <w:r>
        <w:rPr>
          <w:rFonts w:hint="default" w:ascii="Times New Roman" w:hAnsi="Times New Roman" w:eastAsia="仿宋_GB2312" w:cs="Times New Roman"/>
          <w:sz w:val="32"/>
          <w:szCs w:val="32"/>
          <w:highlight w:val="none"/>
        </w:rPr>
        <w:t>等有关规定</w:t>
      </w:r>
      <w:r>
        <w:rPr>
          <w:rFonts w:hint="default" w:ascii="Times New Roman" w:hAnsi="Times New Roman" w:eastAsia="仿宋_GB2312" w:cs="Times New Roman"/>
          <w:sz w:val="32"/>
          <w:highlight w:val="none"/>
        </w:rPr>
        <w:t>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三、安置措施情况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sz w:val="32"/>
          <w:highlight w:val="none"/>
        </w:rPr>
        <w:t>为妥善安置被征地农民，切实解决被征地农民的生产生活出路。在保证货币安置落实的同时，我区根据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印发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广东省征收农村集体土地留用地管理办法（试行）</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的通知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》（粤府办〔2009〕41号）</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《广东省人民政府办公厅关于加强征收农村集体土地留用地安置管理工作的意见》（粤府办〔2016〕30号）</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和</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《广州市人民政府办公厅关于进一步加强征收农村集体土地留用地管理的意见》（穗府办规〔2018〕17号）</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的规定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，留用地按征收土地面</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积的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10%计算</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安排给被征地村集体，面积为</w:t>
      </w:r>
      <w:r>
        <w:rPr>
          <w:rFonts w:hint="eastAsia" w:eastAsia="仿宋_GB2312" w:cs="Times New Roman"/>
          <w:color w:val="000000" w:themeColor="text1"/>
          <w:sz w:val="32"/>
          <w:szCs w:val="32"/>
          <w:highlight w:val="none"/>
          <w:lang w:val="en-US" w:eastAsia="zh-CN"/>
          <w14:textFill>
            <w14:solidFill>
              <w14:schemeClr w14:val="tx1"/>
            </w14:solidFill>
          </w14:textFill>
        </w:rPr>
        <w:t>1.0853</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公顷，留用地兑现方式为</w:t>
      </w:r>
      <w:r>
        <w:rPr>
          <w:rFonts w:hint="eastAsia" w:eastAsia="仿宋_GB2312" w:cs="Times New Roman"/>
          <w:color w:val="000000" w:themeColor="text1"/>
          <w:sz w:val="32"/>
          <w:szCs w:val="32"/>
          <w:highlight w:val="none"/>
          <w:lang w:val="en-US" w:eastAsia="zh-CN"/>
          <w14:textFill>
            <w14:solidFill>
              <w14:schemeClr w14:val="tx1"/>
            </w14:solidFill>
          </w14:textFill>
        </w:rPr>
        <w:t>实物留地，</w:t>
      </w:r>
      <w:r>
        <w:rPr>
          <w:rFonts w:hint="default" w:ascii="Times New Roman" w:hAnsi="Times New Roman" w:eastAsia="仿宋_GB2312" w:cs="Times New Roman"/>
          <w:color w:val="auto"/>
          <w:sz w:val="32"/>
          <w:szCs w:val="32"/>
          <w:highlight w:val="none"/>
        </w:rPr>
        <w:t>拟在</w:t>
      </w:r>
      <w:r>
        <w:rPr>
          <w:rFonts w:hint="eastAsia" w:eastAsia="仿宋_GB2312" w:cs="Times New Roman"/>
          <w:color w:val="auto"/>
          <w:sz w:val="32"/>
          <w:szCs w:val="32"/>
          <w:highlight w:val="none"/>
          <w:lang w:eastAsia="zh-CN"/>
        </w:rPr>
        <w:t>地块外</w:t>
      </w:r>
      <w:r>
        <w:rPr>
          <w:rFonts w:hint="default" w:ascii="Times New Roman" w:hAnsi="Times New Roman" w:eastAsia="仿宋_GB2312" w:cs="Times New Roman"/>
          <w:color w:val="auto"/>
          <w:sz w:val="32"/>
          <w:szCs w:val="32"/>
          <w:highlight w:val="none"/>
          <w:lang w:eastAsia="zh-CN"/>
        </w:rPr>
        <w:t>安排落实</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给上述被征地农民落实基本养老保障和培训就业等社会保障措施，确保被征地农民的原有生活水平不降低，长远生计有保障，具体将按省的征地社会保障实施方案办理。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广州市规划和自然资源局花都区分局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202</w:t>
      </w: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w:t>
      </w: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月</w:t>
      </w: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BB2"/>
    <w:rsid w:val="007E14C5"/>
    <w:rsid w:val="007F15EB"/>
    <w:rsid w:val="00833C90"/>
    <w:rsid w:val="00844234"/>
    <w:rsid w:val="0086311C"/>
    <w:rsid w:val="00886363"/>
    <w:rsid w:val="008B134A"/>
    <w:rsid w:val="008C44D6"/>
    <w:rsid w:val="008D2B89"/>
    <w:rsid w:val="008D5037"/>
    <w:rsid w:val="008D6365"/>
    <w:rsid w:val="008E023E"/>
    <w:rsid w:val="008F76F1"/>
    <w:rsid w:val="008F7950"/>
    <w:rsid w:val="00941381"/>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1CB7562"/>
    <w:rsid w:val="021F18EE"/>
    <w:rsid w:val="026F773F"/>
    <w:rsid w:val="03161533"/>
    <w:rsid w:val="03B7067B"/>
    <w:rsid w:val="047D565D"/>
    <w:rsid w:val="04902F77"/>
    <w:rsid w:val="09373001"/>
    <w:rsid w:val="09400355"/>
    <w:rsid w:val="0B6D4B5B"/>
    <w:rsid w:val="0C4869FB"/>
    <w:rsid w:val="0D3F1C9B"/>
    <w:rsid w:val="0E8B7119"/>
    <w:rsid w:val="0E8E79F1"/>
    <w:rsid w:val="0F036D42"/>
    <w:rsid w:val="0F7468AC"/>
    <w:rsid w:val="125F3B56"/>
    <w:rsid w:val="13F9500D"/>
    <w:rsid w:val="14025984"/>
    <w:rsid w:val="14905081"/>
    <w:rsid w:val="149E2DAB"/>
    <w:rsid w:val="175775B7"/>
    <w:rsid w:val="1A035C0F"/>
    <w:rsid w:val="1AAE50AD"/>
    <w:rsid w:val="1AF513F4"/>
    <w:rsid w:val="1B67425E"/>
    <w:rsid w:val="1BC3439C"/>
    <w:rsid w:val="1BC34DBA"/>
    <w:rsid w:val="1D97029A"/>
    <w:rsid w:val="1EB735CF"/>
    <w:rsid w:val="1F37408C"/>
    <w:rsid w:val="204C53DD"/>
    <w:rsid w:val="20D06A4B"/>
    <w:rsid w:val="2199251B"/>
    <w:rsid w:val="229F4C0B"/>
    <w:rsid w:val="23DE14B8"/>
    <w:rsid w:val="24F92858"/>
    <w:rsid w:val="2638152C"/>
    <w:rsid w:val="26545BED"/>
    <w:rsid w:val="2692070D"/>
    <w:rsid w:val="289B209A"/>
    <w:rsid w:val="296A7299"/>
    <w:rsid w:val="2ABE32E0"/>
    <w:rsid w:val="2BA200C2"/>
    <w:rsid w:val="2CBB4A14"/>
    <w:rsid w:val="2F1124AC"/>
    <w:rsid w:val="2FD93526"/>
    <w:rsid w:val="316336FE"/>
    <w:rsid w:val="317849AC"/>
    <w:rsid w:val="33062F0A"/>
    <w:rsid w:val="346C7CD4"/>
    <w:rsid w:val="356E13AB"/>
    <w:rsid w:val="35760EC9"/>
    <w:rsid w:val="367872C4"/>
    <w:rsid w:val="375A7E55"/>
    <w:rsid w:val="380A6407"/>
    <w:rsid w:val="39102474"/>
    <w:rsid w:val="39CA56A5"/>
    <w:rsid w:val="3A4E6CC6"/>
    <w:rsid w:val="3C38025F"/>
    <w:rsid w:val="3C992538"/>
    <w:rsid w:val="3D3331AE"/>
    <w:rsid w:val="3DA8300F"/>
    <w:rsid w:val="3E122BC7"/>
    <w:rsid w:val="3E5D5B4A"/>
    <w:rsid w:val="3EA94FAB"/>
    <w:rsid w:val="3EE962D3"/>
    <w:rsid w:val="3F3B12E2"/>
    <w:rsid w:val="40F700A0"/>
    <w:rsid w:val="42B31A3C"/>
    <w:rsid w:val="43232767"/>
    <w:rsid w:val="43412817"/>
    <w:rsid w:val="442241EC"/>
    <w:rsid w:val="44B964EC"/>
    <w:rsid w:val="45296E84"/>
    <w:rsid w:val="46212862"/>
    <w:rsid w:val="46A6796D"/>
    <w:rsid w:val="472B3950"/>
    <w:rsid w:val="47366CDF"/>
    <w:rsid w:val="47C40AA6"/>
    <w:rsid w:val="494E5AF8"/>
    <w:rsid w:val="4AAE1013"/>
    <w:rsid w:val="4B3F663F"/>
    <w:rsid w:val="4B442BE5"/>
    <w:rsid w:val="4BEF5EB3"/>
    <w:rsid w:val="4DAC04C6"/>
    <w:rsid w:val="4DFD14BF"/>
    <w:rsid w:val="4EB60530"/>
    <w:rsid w:val="4ED93EDA"/>
    <w:rsid w:val="4F022724"/>
    <w:rsid w:val="50082F1B"/>
    <w:rsid w:val="506214A0"/>
    <w:rsid w:val="514915BF"/>
    <w:rsid w:val="52C54EA5"/>
    <w:rsid w:val="53CB23A2"/>
    <w:rsid w:val="55754051"/>
    <w:rsid w:val="572C1E49"/>
    <w:rsid w:val="577C0C4A"/>
    <w:rsid w:val="57EC7BA0"/>
    <w:rsid w:val="58021AF1"/>
    <w:rsid w:val="5B4F0AAB"/>
    <w:rsid w:val="5DB837C5"/>
    <w:rsid w:val="5E7C3989"/>
    <w:rsid w:val="5F19102D"/>
    <w:rsid w:val="5F206367"/>
    <w:rsid w:val="60A42E1E"/>
    <w:rsid w:val="614A5CFF"/>
    <w:rsid w:val="622845F4"/>
    <w:rsid w:val="64F536D8"/>
    <w:rsid w:val="67982B6C"/>
    <w:rsid w:val="67A5171B"/>
    <w:rsid w:val="682B2AF3"/>
    <w:rsid w:val="6A2503CE"/>
    <w:rsid w:val="6B3D53FB"/>
    <w:rsid w:val="6D4C5CE1"/>
    <w:rsid w:val="6F332D93"/>
    <w:rsid w:val="72EE757E"/>
    <w:rsid w:val="73054011"/>
    <w:rsid w:val="732C7CE3"/>
    <w:rsid w:val="73C32F03"/>
    <w:rsid w:val="76C42B4B"/>
    <w:rsid w:val="76C951AF"/>
    <w:rsid w:val="78716BD4"/>
    <w:rsid w:val="7B165EAF"/>
    <w:rsid w:val="7BE43654"/>
    <w:rsid w:val="7C21704A"/>
    <w:rsid w:val="7C721151"/>
    <w:rsid w:val="7CA02A5B"/>
    <w:rsid w:val="7CA63BDE"/>
    <w:rsid w:val="7E875FC9"/>
    <w:rsid w:val="7E9356A2"/>
    <w:rsid w:val="7F6606B1"/>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3</Pages>
  <Words>224</Words>
  <Characters>1279</Characters>
  <Lines>10</Lines>
  <Paragraphs>2</Paragraphs>
  <TotalTime>0</TotalTime>
  <ScaleCrop>false</ScaleCrop>
  <LinksUpToDate>false</LinksUpToDate>
  <CharactersWithSpaces>1501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NTKO</cp:lastModifiedBy>
  <cp:lastPrinted>2022-08-09T03:50:00Z</cp:lastPrinted>
  <dcterms:modified xsi:type="dcterms:W3CDTF">2023-04-06T03:44:50Z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