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hint="eastAsia" w:ascii="Arial" w:eastAsia="宋体"/>
          <w:sz w:val="21"/>
          <w:lang w:val="en-US"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spacing w:line="560" w:lineRule="exact"/>
        <w:ind w:left="386"/>
        <w:textAlignment w:val="baseline"/>
        <w:rPr>
          <w:rFonts w:hint="eastAsia" w:ascii="方正小标宋简体" w:hAnsi="方正小标宋简体" w:eastAsia="方正小标宋简体" w:cs="方正小标宋简体"/>
          <w:b w:val="0"/>
          <w:bCs w:val="0"/>
          <w:sz w:val="45"/>
          <w:szCs w:val="45"/>
        </w:rPr>
      </w:pPr>
      <w:r>
        <w:rPr>
          <w:rFonts w:hint="eastAsia" w:ascii="方正小标宋简体" w:hAnsi="方正小标宋简体" w:eastAsia="方正小标宋简体" w:cs="方正小标宋简体"/>
          <w:b w:val="0"/>
          <w:bCs w:val="0"/>
          <w:spacing w:val="-4"/>
          <w:sz w:val="45"/>
          <w:szCs w:val="45"/>
        </w:rPr>
        <w:t>关于广州市花都区2022年度第三十一批次</w:t>
      </w:r>
    </w:p>
    <w:p>
      <w:pPr>
        <w:keepNext w:val="0"/>
        <w:keepLines w:val="0"/>
        <w:pageBreakBefore w:val="0"/>
        <w:widowControl/>
        <w:kinsoku w:val="0"/>
        <w:wordWrap/>
        <w:overflowPunct/>
        <w:topLinePunct w:val="0"/>
        <w:autoSpaceDE w:val="0"/>
        <w:autoSpaceDN w:val="0"/>
        <w:bidi w:val="0"/>
        <w:adjustRightInd w:val="0"/>
        <w:snapToGrid/>
        <w:spacing w:line="560" w:lineRule="exact"/>
        <w:ind w:left="486"/>
        <w:textAlignment w:val="baseline"/>
        <w:rPr>
          <w:rFonts w:hint="eastAsia" w:ascii="方正小标宋简体" w:hAnsi="方正小标宋简体" w:eastAsia="方正小标宋简体" w:cs="方正小标宋简体"/>
          <w:b w:val="0"/>
          <w:bCs w:val="0"/>
          <w:sz w:val="45"/>
          <w:szCs w:val="45"/>
        </w:rPr>
      </w:pPr>
      <w:r>
        <w:rPr>
          <w:rFonts w:hint="eastAsia" w:ascii="方正小标宋简体" w:hAnsi="方正小标宋简体" w:eastAsia="方正小标宋简体" w:cs="方正小标宋简体"/>
          <w:b w:val="0"/>
          <w:bCs w:val="0"/>
          <w:spacing w:val="9"/>
          <w:sz w:val="45"/>
          <w:szCs w:val="45"/>
        </w:rPr>
        <w:t>城镇建设用地(官溪村留用地项目)征地</w:t>
      </w:r>
    </w:p>
    <w:p>
      <w:pPr>
        <w:keepNext w:val="0"/>
        <w:keepLines w:val="0"/>
        <w:pageBreakBefore w:val="0"/>
        <w:widowControl/>
        <w:kinsoku w:val="0"/>
        <w:wordWrap/>
        <w:overflowPunct/>
        <w:topLinePunct w:val="0"/>
        <w:autoSpaceDE w:val="0"/>
        <w:autoSpaceDN w:val="0"/>
        <w:bidi w:val="0"/>
        <w:adjustRightInd w:val="0"/>
        <w:snapToGrid/>
        <w:spacing w:line="560" w:lineRule="exact"/>
        <w:ind w:left="1346"/>
        <w:textAlignment w:val="baseline"/>
        <w:rPr>
          <w:rFonts w:hint="eastAsia" w:ascii="方正小标宋简体" w:hAnsi="方正小标宋简体" w:eastAsia="方正小标宋简体" w:cs="方正小标宋简体"/>
          <w:b w:val="0"/>
          <w:bCs w:val="0"/>
          <w:sz w:val="45"/>
          <w:szCs w:val="45"/>
        </w:rPr>
      </w:pPr>
      <w:r>
        <w:rPr>
          <w:rFonts w:hint="eastAsia" w:ascii="方正小标宋简体" w:hAnsi="方正小标宋简体" w:eastAsia="方正小标宋简体" w:cs="方正小标宋简体"/>
          <w:b w:val="0"/>
          <w:bCs w:val="0"/>
          <w:spacing w:val="-13"/>
          <w:sz w:val="45"/>
          <w:szCs w:val="45"/>
        </w:rPr>
        <w:t>项目的被征地农民养老保障方案</w:t>
      </w: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spacing w:line="600" w:lineRule="exact"/>
        <w:ind w:left="0" w:right="0" w:firstLine="592"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工作意见的通知》(粤府办〔2021〕22号)等有关规定精神，拟定广州市花都区2022年度第三十一批次城镇建设用地(官溪村留用地项目)征地项目的被征地农民养老保障方案如下：</w:t>
      </w:r>
    </w:p>
    <w:p>
      <w:pPr>
        <w:keepNext w:val="0"/>
        <w:keepLines w:val="0"/>
        <w:pageBreakBefore w:val="0"/>
        <w:widowControl/>
        <w:kinsoku w:val="0"/>
        <w:wordWrap/>
        <w:overflowPunct/>
        <w:topLinePunct w:val="0"/>
        <w:autoSpaceDE w:val="0"/>
        <w:autoSpaceDN w:val="0"/>
        <w:bidi w:val="0"/>
        <w:adjustRightInd w:val="0"/>
        <w:snapToGrid/>
        <w:spacing w:line="600" w:lineRule="exact"/>
        <w:ind w:left="0" w:right="0" w:firstLine="59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一、对广州市花都区2022年度第三十一批次城镇建设用地</w:t>
      </w:r>
      <w:r>
        <w:rPr>
          <w:rFonts w:hint="eastAsia" w:ascii="仿宋_GB2312" w:hAnsi="仿宋_GB2312" w:eastAsia="仿宋_GB2312" w:cs="仿宋_GB2312"/>
          <w:spacing w:val="-18"/>
          <w:sz w:val="32"/>
          <w:szCs w:val="32"/>
        </w:rPr>
        <w:t>(官溪村留用地项目)征地项目涉及的被征地农民实施社会养老</w:t>
      </w:r>
      <w:r>
        <w:rPr>
          <w:rFonts w:hint="eastAsia" w:ascii="仿宋_GB2312" w:hAnsi="仿宋_GB2312" w:eastAsia="仿宋_GB2312" w:cs="仿宋_GB2312"/>
          <w:spacing w:val="-23"/>
          <w:sz w:val="32"/>
          <w:szCs w:val="32"/>
        </w:rPr>
        <w:t>保障。</w:t>
      </w:r>
    </w:p>
    <w:p>
      <w:pPr>
        <w:keepNext w:val="0"/>
        <w:keepLines w:val="0"/>
        <w:pageBreakBefore w:val="0"/>
        <w:widowControl/>
        <w:kinsoku w:val="0"/>
        <w:wordWrap/>
        <w:overflowPunct/>
        <w:topLinePunct w:val="0"/>
        <w:autoSpaceDE w:val="0"/>
        <w:autoSpaceDN w:val="0"/>
        <w:bidi w:val="0"/>
        <w:adjustRightInd w:val="0"/>
        <w:snapToGrid/>
        <w:spacing w:line="600" w:lineRule="exact"/>
        <w:ind w:left="0" w:right="0" w:firstLine="592"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二、纳入本次被征地农民养老保障的对象人数。该项目涉及花都区秀全街岐山村、马溪村应纳入养老保障范围的被征地农民人数为222人(其中秀全街岐山村岐南经济合作社197人、经济联合社9人，马溪村经济联合社16人),具体名单经村民(股东)大会或村民(股东)代表大会讨论，由村委会报镇人民政府核准、公示后确定。</w:t>
      </w:r>
    </w:p>
    <w:p>
      <w:pPr>
        <w:keepNext w:val="0"/>
        <w:keepLines w:val="0"/>
        <w:pageBreakBefore w:val="0"/>
        <w:widowControl/>
        <w:kinsoku w:val="0"/>
        <w:wordWrap/>
        <w:overflowPunct/>
        <w:topLinePunct w:val="0"/>
        <w:autoSpaceDE w:val="0"/>
        <w:autoSpaceDN w:val="0"/>
        <w:bidi w:val="0"/>
        <w:adjustRightInd w:val="0"/>
        <w:snapToGrid/>
        <w:spacing w:line="600" w:lineRule="exact"/>
        <w:ind w:left="0" w:right="0" w:firstLine="592"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三、征地社保费筹集。该项目征收花都区秀全街岐山村、马溪村土地面积共96.4005亩(其中秀全街岐山村岐南经济合作社土地面积49.3845亩、经济联合社土地面积2.2395亩，马溪村经济联合社土地面积44.7765亩),项目已于2012年11月签订征地补偿安置协议，按粤府办〔2021〕22号文规定执行原征地社保政策，即按穗府办〔2021〕8号文第九条规定计提标准(即1.62万元/人),将涉及应纳入养老保障范围的被征地农民222人所需征地社保费359.64万元(其中秀全街岐山村岐南经济合作社319.14万元、经济联合社14.58万元，马溪村经济联合社25.92万元)一次性预存入我区“收缴被征地农民社会保障资金过渡户”,用于被征地农民参加城乡居民基本养老保险个人缴费。上级另有规定的，按其规定执行。</w:t>
      </w:r>
    </w:p>
    <w:p>
      <w:pPr>
        <w:keepNext w:val="0"/>
        <w:keepLines w:val="0"/>
        <w:pageBreakBefore w:val="0"/>
        <w:widowControl/>
        <w:kinsoku w:val="0"/>
        <w:wordWrap/>
        <w:overflowPunct/>
        <w:topLinePunct w:val="0"/>
        <w:autoSpaceDE w:val="0"/>
        <w:autoSpaceDN w:val="0"/>
        <w:bidi w:val="0"/>
        <w:adjustRightInd w:val="0"/>
        <w:snapToGrid/>
        <w:spacing w:line="60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spacing w:line="560" w:lineRule="exact"/>
        <w:ind w:right="416"/>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广州市花都区人力资源和社会保障局</w:t>
      </w:r>
    </w:p>
    <w:p>
      <w:pPr>
        <w:keepNext w:val="0"/>
        <w:keepLines w:val="0"/>
        <w:pageBreakBefore w:val="0"/>
        <w:widowControl/>
        <w:kinsoku w:val="0"/>
        <w:wordWrap/>
        <w:overflowPunct/>
        <w:topLinePunct w:val="0"/>
        <w:autoSpaceDE w:val="0"/>
        <w:autoSpaceDN w:val="0"/>
        <w:bidi w:val="0"/>
        <w:adjustRightInd w:val="0"/>
        <w:snapToGrid/>
        <w:spacing w:line="560" w:lineRule="exact"/>
        <w:ind w:left="467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8"/>
          <w:sz w:val="32"/>
          <w:szCs w:val="32"/>
        </w:rPr>
        <w:t>2022年10月10日</w:t>
      </w:r>
    </w:p>
    <w:sectPr>
      <w:footerReference r:id="rId5" w:type="default"/>
      <w:pgSz w:w="11910" w:h="16840"/>
      <w:pgMar w:top="1431" w:right="1465" w:bottom="1709" w:left="1559" w:header="0" w:footer="14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D6A6E9-7406-4FA4-93A2-0AB7FDF4D4A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121F8CB4-6558-4781-B891-E9EB3FF025F1}"/>
  </w:font>
  <w:font w:name="仿宋_GB2312">
    <w:panose1 w:val="02010609030101010101"/>
    <w:charset w:val="86"/>
    <w:family w:val="auto"/>
    <w:pitch w:val="default"/>
    <w:sig w:usb0="00000001" w:usb1="080E0000" w:usb2="00000000" w:usb3="00000000" w:csb0="00040000" w:csb1="00000000"/>
    <w:embedRegular r:id="rId3" w:fontKey="{FDC355D3-9819-48BF-B903-DE65A48D1A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27"/>
        <w:szCs w:val="27"/>
      </w:rPr>
    </w:pPr>
    <w:r>
      <w:rPr>
        <w:rFonts w:ascii="宋体" w:hAnsi="宋体" w:eastAsia="宋体" w:cs="宋体"/>
        <w:spacing w:val="-3"/>
        <w:sz w:val="27"/>
        <w:szCs w:val="27"/>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ZkN2U0NTE2ZWZjNGNkOGYwMTY5ODIwZjEyYjUxNGMifQ=="/>
  </w:docVars>
  <w:rsids>
    <w:rsidRoot w:val="00000000"/>
    <w:rsid w:val="03487496"/>
    <w:rsid w:val="0F95281C"/>
    <w:rsid w:val="37052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2023-04-07T11:27:00Z</dcterms:created>
  <dc:creator>Kingsoft-PDF</dc:creator>
  <cp:lastModifiedBy>123</cp:lastModifiedBy>
  <dcterms:modified xsi:type="dcterms:W3CDTF">2023-04-07T03:32:41Z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2023-04-07T11:27:44Z</vt:filetime>
  </property>
  <property fmtid="{D5CDD505-2E9C-101B-9397-08002B2CF9AE}" pid="4" name="UsrData">
    <vt:lpwstr>642f8da10d38b70015890601</vt:lpwstr>
  </property>
  <property fmtid="{D5CDD505-2E9C-101B-9397-08002B2CF9AE}" pid="5" name="KSOProductBuildVer">
    <vt:lpwstr>2052-11.1.0.13703</vt:lpwstr>
  </property>
  <property fmtid="{D5CDD505-2E9C-101B-9397-08002B2CF9AE}" pid="6" name="ICV">
    <vt:lpwstr>1CFE322E75B34AFF9BFAC3247788EFEE</vt:lpwstr>
  </property>
</Properties>
</file>