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广东省人民政府关于广州市华旭皮具有限公司旧厂房“工改工”类微改造项目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涉及集体土地完善转用、征收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手续的批复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（粤府土审（02）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《广州市规划和自然资源局关于广州市华旭皮具有限公司旧厂房“工改工”类微改造项目涉及集体土地完善转用、征收手续的请示》（穗规划资源（用地）报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16号）及相关材料已通过审核。根据《中华人民共和国土地管理法》第四十四条、第四十五条、第四十六条及《广东省旧城镇旧厂房旧村庄改造管理办法》（广东省人民政府令第279号）第十七条，批复如下：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、同意你市花都区将位于该区域狮岭镇欧洲工业园，东临广州市摩登皮具有限公司，西至广州市基榜梁皮具有限公司，北临广州市花都区达声五金厂，南至欧华一街的0.6387公顷旧厂房集体建设用地完善转用、征收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二、请你市人民政府督促花都区人民政府及时按规定发布征收土地公告，履行有关批后实施程序，切实保障有关土地权利人的合法权益。征地补偿安置不落实的，不得强行使用被征土地。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请你市人民政府按照省“三旧”改造政策要求供应土地，并组织改造主体按照经批准的改造方案实施改造。该宗用地在详细规划中安排为一类工业用地兼容公园绿地，供地时土地用途应与上述规划安排相符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四、使用土地涉及有关税费的收缴或调整，请按有关规定办理。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6741"/>
    <w:rsid w:val="10DA6741"/>
    <w:rsid w:val="7780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2023-03-07T05:45:00Z</dcterms:created>
  <dc:creator>欧高清</dc:creator>
  <cp:lastModifiedBy>HDGT</cp:lastModifiedBy>
  <dcterms:modified xsi:type="dcterms:W3CDTF">2023-03-22T09:40:40Z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89A2A409D2F04AFF87E8EF2A43C94B03</vt:lpwstr>
  </property>
</Properties>
</file>