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160" w:leftChars="-50" w:right="-160" w:rightChars="-50"/>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20" w:lineRule="exact"/>
        <w:ind w:left="-160" w:leftChars="-50" w:right="-160" w:rightChars="-50"/>
        <w:jc w:val="center"/>
        <w:textAlignment w:val="auto"/>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auto"/>
          <w:sz w:val="44"/>
          <w:szCs w:val="44"/>
          <w:lang w:val="en-US" w:eastAsia="zh-CN"/>
        </w:rPr>
        <w:t>广州市花都区2023年度第二批次城镇建设用地（G12-CN01-2地块）</w:t>
      </w:r>
      <w:r>
        <w:rPr>
          <w:rFonts w:hint="eastAsia" w:ascii="方正小标宋简体" w:hAnsi="方正小标宋简体" w:eastAsia="方正小标宋简体" w:cs="方正小标宋简体"/>
          <w:color w:val="auto"/>
          <w:sz w:val="44"/>
          <w:szCs w:val="44"/>
          <w:lang w:eastAsia="zh-CN"/>
        </w:rPr>
        <w:t>征地项目的</w:t>
      </w:r>
    </w:p>
    <w:p>
      <w:pPr>
        <w:keepNext w:val="0"/>
        <w:keepLines w:val="0"/>
        <w:pageBreakBefore w:val="0"/>
        <w:widowControl w:val="0"/>
        <w:kinsoku/>
        <w:wordWrap/>
        <w:overflowPunct/>
        <w:topLinePunct w:val="0"/>
        <w:autoSpaceDE/>
        <w:autoSpaceDN/>
        <w:bidi w:val="0"/>
        <w:adjustRightInd/>
        <w:snapToGrid/>
        <w:spacing w:line="620" w:lineRule="exact"/>
        <w:ind w:left="-160" w:leftChars="-50" w:right="-160" w:rightChars="-5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w:t>
      </w:r>
      <w:r>
        <w:rPr>
          <w:rFonts w:hint="eastAsia" w:ascii="仿宋_GB2312" w:hAnsi="仿宋_GB2312" w:cs="仿宋_GB2312"/>
          <w:color w:val="auto"/>
          <w:lang w:val="en-US" w:eastAsia="zh-CN"/>
        </w:rPr>
        <w:t xml:space="preserve"> </w:t>
      </w:r>
      <w:r>
        <w:rPr>
          <w:rFonts w:hint="eastAsia" w:ascii="仿宋_GB2312" w:hAnsi="仿宋_GB2312" w:eastAsia="仿宋_GB2312" w:cs="仿宋_GB2312"/>
          <w:color w:val="auto"/>
          <w:lang w:val="en-US" w:eastAsia="zh-CN"/>
        </w:rPr>
        <w:t>（粤府办〔2021〕22号）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，拟定广州市花都区2023年度第二批次城镇建设用地（G12-CN01-2地块）征地项目被征地农民养老保障方案如下：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一、对广州市花都区2023年度第二批次城镇建设用地（G12-CN01-2地块）征地项目涉及的被征地农民实施社会养老保障。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赤坭镇赤坭村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土地面积81.7380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rPr>
        <w:t>征地双</w:t>
      </w:r>
      <w:r>
        <w:rPr>
          <w:rFonts w:hint="eastAsia" w:ascii="仿宋_GB2312" w:hAnsi="仿宋_GB2312" w:cs="仿宋_GB2312"/>
          <w:color w:val="auto"/>
        </w:rPr>
        <w:t>方</w:t>
      </w:r>
      <w:r>
        <w:rPr>
          <w:rFonts w:hint="eastAsia" w:ascii="仿宋_GB2312" w:hAnsi="仿宋_GB2312" w:cs="仿宋_GB2312"/>
          <w:color w:val="auto"/>
          <w:lang w:eastAsia="zh-CN"/>
        </w:rPr>
        <w:t>目前未签订</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174.94</w:t>
      </w:r>
      <w:r>
        <w:rPr>
          <w:rFonts w:hint="eastAsia" w:ascii="仿宋_GB2312" w:hAnsi="仿宋_GB2312" w:cs="仿宋_GB2312"/>
          <w:color w:val="auto"/>
          <w:kern w:val="2"/>
          <w:shd w:val="clear" w:color="auto" w:fill="auto"/>
          <w:lang w:bidi="ar-SA"/>
        </w:rPr>
        <w:t>万元由征地主体（用地单位）一次性预存入我区人力资源社会保障部门开设的“收缴被征地农民养老保障资金过渡户”，计入征地成本，纳入工程项目概算。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w:t>
      </w:r>
      <w:r>
        <w:rPr>
          <w:rFonts w:hint="eastAsia" w:ascii="仿宋_GB2312" w:hAnsi="仿宋_GB2312" w:eastAsia="仿宋_GB2312" w:cs="仿宋_GB2312"/>
        </w:rPr>
        <w:t>“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widowControl w:val="0"/>
        <w:ind w:left="0" w:leftChars="0" w:firstLine="0" w:firstLineChars="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widowControl w:val="0"/>
        <w:ind w:left="0" w:leftChars="0" w:firstLine="0" w:firstLineChars="0"/>
        <w:jc w:val="cente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征收土地及养老保障情况表</w:t>
      </w:r>
    </w:p>
    <w:p>
      <w:pPr>
        <w:widowControl w:val="0"/>
        <w:ind w:firstLine="640" w:firstLineChars="20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28"/>
          <w:szCs w:val="28"/>
          <w:lang w:val="en-US" w:eastAsia="zh-CN" w:bidi="ar-SA"/>
        </w:rPr>
        <w:t>单位：亩、万元</w:t>
      </w:r>
    </w:p>
    <w:tbl>
      <w:tblPr>
        <w:tblStyle w:val="5"/>
        <w:tblW w:w="8677" w:type="dxa"/>
        <w:jc w:val="center"/>
        <w:tblLayout w:type="fixed"/>
        <w:tblCellMar>
          <w:top w:w="0" w:type="dxa"/>
          <w:left w:w="0" w:type="dxa"/>
          <w:bottom w:w="0" w:type="dxa"/>
          <w:right w:w="0" w:type="dxa"/>
        </w:tblCellMar>
      </w:tblPr>
      <w:tblGrid>
        <w:gridCol w:w="1139"/>
        <w:gridCol w:w="2263"/>
        <w:gridCol w:w="1680"/>
        <w:gridCol w:w="1710"/>
        <w:gridCol w:w="1885"/>
      </w:tblGrid>
      <w:tr>
        <w:tblPrEx>
          <w:tblCellMar>
            <w:top w:w="0" w:type="dxa"/>
            <w:left w:w="0" w:type="dxa"/>
            <w:bottom w:w="0" w:type="dxa"/>
            <w:right w:w="0" w:type="dxa"/>
          </w:tblCellMar>
        </w:tblPrEx>
        <w:trPr>
          <w:trHeight w:val="1115" w:hRule="atLeast"/>
          <w:jc w:val="center"/>
        </w:trPr>
        <w:tc>
          <w:tcPr>
            <w:tcW w:w="3402"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黑体" w:hAnsi="黑体" w:eastAsia="黑体" w:cs="黑体"/>
                <w:color w:val="auto"/>
                <w:kern w:val="0"/>
                <w:sz w:val="24"/>
                <w:szCs w:val="24"/>
                <w:lang w:bidi="ar-SA"/>
              </w:rPr>
            </w:pPr>
            <w:r>
              <w:rPr>
                <w:rFonts w:hint="eastAsia" w:ascii="黑体" w:hAnsi="黑体" w:eastAsia="黑体" w:cs="黑体"/>
                <w:color w:val="auto"/>
                <w:kern w:val="0"/>
                <w:sz w:val="24"/>
                <w:szCs w:val="24"/>
                <w:lang w:bidi="ar-SA"/>
              </w:rPr>
              <w:t>被征地单位</w:t>
            </w:r>
          </w:p>
        </w:tc>
        <w:tc>
          <w:tcPr>
            <w:tcW w:w="16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rPr>
              <w:t>征收土地面积</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黑体" w:hAnsi="黑体" w:eastAsia="黑体" w:cs="黑体"/>
                <w:color w:val="auto"/>
                <w:kern w:val="0"/>
                <w:sz w:val="24"/>
                <w:szCs w:val="24"/>
                <w:lang w:eastAsia="zh-CN"/>
              </w:rPr>
            </w:pPr>
            <w:r>
              <w:rPr>
                <w:rFonts w:hint="eastAsia" w:ascii="黑体" w:hAnsi="黑体" w:eastAsia="黑体" w:cs="黑体"/>
                <w:color w:val="auto"/>
                <w:kern w:val="0"/>
                <w:sz w:val="24"/>
                <w:szCs w:val="24"/>
                <w:lang w:eastAsia="zh-CN" w:bidi="ar-SA"/>
              </w:rPr>
              <w:t>其中属于被征地单位留用地面积</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黑体" w:hAnsi="黑体" w:eastAsia="黑体" w:cs="黑体"/>
                <w:color w:val="auto"/>
                <w:kern w:val="0"/>
                <w:sz w:val="24"/>
                <w:szCs w:val="24"/>
                <w:lang w:eastAsia="zh-CN" w:bidi="ar-SA"/>
              </w:rPr>
            </w:pPr>
            <w:r>
              <w:rPr>
                <w:rFonts w:hint="eastAsia" w:ascii="黑体" w:hAnsi="黑体" w:eastAsia="黑体" w:cs="黑体"/>
                <w:color w:val="auto"/>
                <w:kern w:val="0"/>
                <w:sz w:val="24"/>
                <w:szCs w:val="24"/>
                <w:lang w:eastAsia="zh-CN" w:bidi="ar-SA"/>
              </w:rPr>
              <w:t>需计提征地社保费</w:t>
            </w:r>
          </w:p>
        </w:tc>
      </w:tr>
      <w:tr>
        <w:tblPrEx>
          <w:tblCellMar>
            <w:top w:w="0" w:type="dxa"/>
            <w:left w:w="0" w:type="dxa"/>
            <w:bottom w:w="0" w:type="dxa"/>
            <w:right w:w="0" w:type="dxa"/>
          </w:tblCellMar>
        </w:tblPrEx>
        <w:trPr>
          <w:trHeight w:val="790" w:hRule="atLeast"/>
          <w:jc w:val="center"/>
        </w:trPr>
        <w:tc>
          <w:tcPr>
            <w:tcW w:w="11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b w:val="0"/>
                <w:bCs w:val="0"/>
                <w:color w:val="auto"/>
                <w:kern w:val="0"/>
                <w:sz w:val="24"/>
                <w:szCs w:val="24"/>
              </w:rPr>
            </w:pPr>
            <w:r>
              <w:rPr>
                <w:rFonts w:hint="eastAsia" w:ascii="宋体" w:hAnsi="宋体" w:eastAsia="宋体" w:cs="宋体"/>
                <w:color w:val="auto"/>
                <w:kern w:val="0"/>
                <w:sz w:val="24"/>
                <w:szCs w:val="24"/>
                <w:shd w:val="clear" w:color="auto" w:fill="auto"/>
                <w:lang w:val="en-US" w:eastAsia="zh-CN" w:bidi="ar-SA"/>
              </w:rPr>
              <w:t>赤坭镇</w:t>
            </w:r>
          </w:p>
        </w:tc>
        <w:tc>
          <w:tcPr>
            <w:tcW w:w="2263"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ind w:left="-38" w:leftChars="-12"/>
              <w:jc w:val="center"/>
              <w:rPr>
                <w:rFonts w:hint="eastAsia" w:ascii="宋体" w:hAnsi="宋体" w:eastAsia="宋体" w:cs="宋体"/>
                <w:kern w:val="0"/>
                <w:sz w:val="24"/>
                <w:szCs w:val="24"/>
                <w:lang w:bidi="ar-SA"/>
              </w:rPr>
            </w:pPr>
            <w:r>
              <w:rPr>
                <w:rFonts w:hint="eastAsia" w:ascii="宋体" w:hAnsi="宋体" w:eastAsia="宋体" w:cs="宋体"/>
                <w:color w:val="auto"/>
                <w:kern w:val="0"/>
                <w:sz w:val="24"/>
                <w:szCs w:val="24"/>
                <w:shd w:val="clear" w:color="auto" w:fill="auto"/>
                <w:lang w:bidi="ar-SA"/>
              </w:rPr>
              <w:t>赤坭第八经济合作社</w:t>
            </w:r>
            <w:r>
              <w:rPr>
                <w:rFonts w:hint="eastAsia" w:ascii="宋体" w:hAnsi="宋体" w:eastAsia="宋体" w:cs="宋体"/>
                <w:color w:val="auto"/>
                <w:kern w:val="0"/>
                <w:sz w:val="24"/>
                <w:szCs w:val="24"/>
                <w:shd w:val="clear" w:color="auto" w:fill="auto"/>
                <w:lang w:eastAsia="zh-CN" w:bidi="ar-SA"/>
              </w:rPr>
              <w:t>、</w:t>
            </w:r>
            <w:r>
              <w:rPr>
                <w:rFonts w:hint="eastAsia" w:ascii="宋体" w:hAnsi="宋体" w:eastAsia="宋体" w:cs="宋体"/>
                <w:color w:val="auto"/>
                <w:kern w:val="0"/>
                <w:sz w:val="24"/>
                <w:szCs w:val="24"/>
                <w:shd w:val="clear" w:color="auto" w:fill="auto"/>
                <w:lang w:bidi="ar-SA"/>
              </w:rPr>
              <w:t>赤坭第二经济合作社</w:t>
            </w:r>
            <w:r>
              <w:rPr>
                <w:rFonts w:hint="eastAsia" w:ascii="宋体" w:hAnsi="宋体" w:eastAsia="宋体" w:cs="宋体"/>
                <w:color w:val="auto"/>
                <w:kern w:val="0"/>
                <w:sz w:val="24"/>
                <w:szCs w:val="24"/>
                <w:shd w:val="clear" w:color="auto" w:fill="auto"/>
                <w:lang w:eastAsia="zh-CN" w:bidi="ar-SA"/>
              </w:rPr>
              <w:t>、</w:t>
            </w:r>
            <w:r>
              <w:rPr>
                <w:rFonts w:hint="eastAsia" w:ascii="宋体" w:hAnsi="宋体" w:eastAsia="宋体" w:cs="宋体"/>
                <w:color w:val="auto"/>
                <w:kern w:val="0"/>
                <w:sz w:val="24"/>
                <w:szCs w:val="24"/>
                <w:shd w:val="clear" w:color="auto" w:fill="auto"/>
                <w:lang w:bidi="ar-SA"/>
              </w:rPr>
              <w:t>赤坭第一经济合作社</w:t>
            </w:r>
            <w:r>
              <w:rPr>
                <w:rFonts w:hint="eastAsia" w:ascii="宋体" w:hAnsi="宋体" w:eastAsia="宋体" w:cs="宋体"/>
                <w:color w:val="auto"/>
                <w:kern w:val="0"/>
                <w:sz w:val="24"/>
                <w:szCs w:val="24"/>
                <w:shd w:val="clear" w:color="auto" w:fill="auto"/>
                <w:lang w:eastAsia="zh-CN" w:bidi="ar-SA"/>
              </w:rPr>
              <w:t>（共有）</w:t>
            </w:r>
          </w:p>
        </w:tc>
        <w:tc>
          <w:tcPr>
            <w:tcW w:w="16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48.0225</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590" w:leftChars="-12" w:hanging="628" w:hangingChars="262"/>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0</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590" w:leftChars="-12" w:hanging="628" w:hangingChars="262"/>
              <w:jc w:val="center"/>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102.77</w:t>
            </w:r>
          </w:p>
        </w:tc>
      </w:tr>
      <w:tr>
        <w:tblPrEx>
          <w:tblCellMar>
            <w:top w:w="0" w:type="dxa"/>
            <w:left w:w="0" w:type="dxa"/>
            <w:bottom w:w="0" w:type="dxa"/>
            <w:right w:w="0" w:type="dxa"/>
          </w:tblCellMar>
        </w:tblPrEx>
        <w:trPr>
          <w:trHeight w:val="765" w:hRule="atLeast"/>
          <w:jc w:val="center"/>
        </w:trPr>
        <w:tc>
          <w:tcPr>
            <w:tcW w:w="11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b w:val="0"/>
                <w:bCs w:val="0"/>
                <w:color w:val="auto"/>
                <w:kern w:val="0"/>
                <w:sz w:val="24"/>
                <w:szCs w:val="24"/>
              </w:rPr>
            </w:pPr>
            <w:r>
              <w:rPr>
                <w:rFonts w:hint="eastAsia" w:ascii="宋体" w:hAnsi="宋体" w:eastAsia="宋体" w:cs="宋体"/>
                <w:color w:val="auto"/>
                <w:kern w:val="0"/>
                <w:sz w:val="24"/>
                <w:szCs w:val="24"/>
                <w:shd w:val="clear" w:color="auto" w:fill="auto"/>
                <w:lang w:val="en-US" w:eastAsia="zh-CN" w:bidi="ar-SA"/>
              </w:rPr>
              <w:t>赤坭镇</w:t>
            </w:r>
          </w:p>
        </w:tc>
        <w:tc>
          <w:tcPr>
            <w:tcW w:w="2263"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ind w:left="-38" w:leftChars="-12"/>
              <w:jc w:val="center"/>
              <w:rPr>
                <w:rFonts w:hint="eastAsia" w:ascii="宋体" w:hAnsi="宋体" w:eastAsia="宋体" w:cs="宋体"/>
                <w:kern w:val="0"/>
                <w:sz w:val="24"/>
                <w:szCs w:val="24"/>
                <w:lang w:bidi="ar-SA"/>
              </w:rPr>
            </w:pPr>
            <w:r>
              <w:rPr>
                <w:rFonts w:hint="eastAsia" w:ascii="宋体" w:hAnsi="宋体" w:eastAsia="宋体" w:cs="宋体"/>
                <w:color w:val="auto"/>
                <w:kern w:val="0"/>
                <w:sz w:val="24"/>
                <w:szCs w:val="24"/>
                <w:shd w:val="clear" w:color="auto" w:fill="auto"/>
                <w:lang w:bidi="ar-SA"/>
              </w:rPr>
              <w:t>赤坭第二经济合作社</w:t>
            </w:r>
            <w:r>
              <w:rPr>
                <w:rFonts w:hint="eastAsia" w:ascii="宋体" w:hAnsi="宋体" w:eastAsia="宋体" w:cs="宋体"/>
                <w:color w:val="auto"/>
                <w:kern w:val="0"/>
                <w:sz w:val="24"/>
                <w:szCs w:val="24"/>
                <w:shd w:val="clear" w:color="auto" w:fill="auto"/>
                <w:lang w:eastAsia="zh-CN" w:bidi="ar-SA"/>
              </w:rPr>
              <w:t>、</w:t>
            </w:r>
            <w:r>
              <w:rPr>
                <w:rFonts w:hint="eastAsia" w:ascii="宋体" w:hAnsi="宋体" w:eastAsia="宋体" w:cs="宋体"/>
                <w:color w:val="auto"/>
                <w:kern w:val="0"/>
                <w:sz w:val="24"/>
                <w:szCs w:val="24"/>
                <w:shd w:val="clear" w:color="auto" w:fill="auto"/>
                <w:lang w:bidi="ar-SA"/>
              </w:rPr>
              <w:t>赤坭第一经济合作社</w:t>
            </w:r>
            <w:r>
              <w:rPr>
                <w:rFonts w:hint="eastAsia" w:ascii="宋体" w:hAnsi="宋体" w:eastAsia="宋体" w:cs="宋体"/>
                <w:color w:val="auto"/>
                <w:kern w:val="0"/>
                <w:sz w:val="24"/>
                <w:szCs w:val="24"/>
                <w:shd w:val="clear" w:color="auto" w:fill="auto"/>
                <w:lang w:eastAsia="zh-CN" w:bidi="ar-SA"/>
              </w:rPr>
              <w:t>（共有）</w:t>
            </w:r>
          </w:p>
        </w:tc>
        <w:tc>
          <w:tcPr>
            <w:tcW w:w="16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22.3845</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0</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eastAsiaTheme="minorEastAsia"/>
                <w:kern w:val="0"/>
                <w:sz w:val="24"/>
                <w:szCs w:val="24"/>
                <w:lang w:val="en-US" w:eastAsia="zh-CN" w:bidi="ar-SA"/>
              </w:rPr>
            </w:pPr>
            <w:r>
              <w:rPr>
                <w:rFonts w:hint="default" w:ascii="Times New Roman" w:hAnsi="Times New Roman" w:cs="Times New Roman" w:eastAsiaTheme="minorEastAsia"/>
                <w:kern w:val="0"/>
                <w:sz w:val="24"/>
                <w:szCs w:val="24"/>
                <w:lang w:val="en-US" w:eastAsia="zh-CN" w:bidi="ar-SA"/>
              </w:rPr>
              <w:t>47.91</w:t>
            </w:r>
          </w:p>
        </w:tc>
      </w:tr>
      <w:tr>
        <w:tblPrEx>
          <w:tblCellMar>
            <w:top w:w="0" w:type="dxa"/>
            <w:left w:w="0" w:type="dxa"/>
            <w:bottom w:w="0" w:type="dxa"/>
            <w:right w:w="0" w:type="dxa"/>
          </w:tblCellMar>
        </w:tblPrEx>
        <w:trPr>
          <w:trHeight w:val="765" w:hRule="atLeast"/>
          <w:jc w:val="center"/>
        </w:trPr>
        <w:tc>
          <w:tcPr>
            <w:tcW w:w="11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b w:val="0"/>
                <w:bCs w:val="0"/>
                <w:color w:val="auto"/>
                <w:kern w:val="0"/>
                <w:sz w:val="24"/>
                <w:szCs w:val="24"/>
              </w:rPr>
            </w:pPr>
            <w:r>
              <w:rPr>
                <w:rFonts w:hint="eastAsia" w:ascii="宋体" w:hAnsi="宋体" w:eastAsia="宋体" w:cs="宋体"/>
                <w:color w:val="auto"/>
                <w:kern w:val="0"/>
                <w:sz w:val="24"/>
                <w:szCs w:val="24"/>
                <w:shd w:val="clear" w:color="auto" w:fill="auto"/>
                <w:lang w:val="en-US" w:eastAsia="zh-CN" w:bidi="ar-SA"/>
              </w:rPr>
              <w:t>赤坭镇</w:t>
            </w:r>
          </w:p>
        </w:tc>
        <w:tc>
          <w:tcPr>
            <w:tcW w:w="2263"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ind w:left="-38" w:leftChars="-12"/>
              <w:jc w:val="center"/>
              <w:rPr>
                <w:rFonts w:hint="eastAsia" w:ascii="宋体" w:hAnsi="宋体" w:eastAsia="宋体" w:cs="宋体"/>
                <w:color w:val="auto"/>
                <w:kern w:val="0"/>
                <w:sz w:val="24"/>
                <w:szCs w:val="24"/>
                <w:lang w:bidi="ar-SA"/>
              </w:rPr>
            </w:pPr>
            <w:r>
              <w:rPr>
                <w:rFonts w:hint="eastAsia" w:ascii="宋体" w:hAnsi="宋体" w:eastAsia="宋体" w:cs="宋体"/>
                <w:color w:val="auto"/>
                <w:kern w:val="0"/>
                <w:sz w:val="24"/>
                <w:szCs w:val="24"/>
                <w:shd w:val="clear" w:color="auto" w:fill="auto"/>
                <w:lang w:bidi="ar-SA"/>
              </w:rPr>
              <w:t>赤坭第二经济合作社</w:t>
            </w:r>
          </w:p>
        </w:tc>
        <w:tc>
          <w:tcPr>
            <w:tcW w:w="16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9.7080</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eastAsiaTheme="minorEastAsia"/>
                <w:color w:val="auto"/>
                <w:kern w:val="0"/>
                <w:sz w:val="24"/>
                <w:szCs w:val="24"/>
                <w:lang w:val="en-US" w:eastAsia="zh-CN"/>
              </w:rPr>
            </w:pPr>
            <w:r>
              <w:rPr>
                <w:rFonts w:hint="default" w:ascii="Times New Roman" w:hAnsi="Times New Roman" w:cs="Times New Roman" w:eastAsiaTheme="minorEastAsia"/>
                <w:color w:val="auto"/>
                <w:kern w:val="0"/>
                <w:sz w:val="24"/>
                <w:szCs w:val="24"/>
                <w:lang w:val="en-US" w:eastAsia="zh-CN"/>
              </w:rPr>
              <w:t>20.78</w:t>
            </w:r>
          </w:p>
        </w:tc>
      </w:tr>
      <w:tr>
        <w:tblPrEx>
          <w:tblCellMar>
            <w:top w:w="0" w:type="dxa"/>
            <w:left w:w="0" w:type="dxa"/>
            <w:bottom w:w="0" w:type="dxa"/>
            <w:right w:w="0" w:type="dxa"/>
          </w:tblCellMar>
        </w:tblPrEx>
        <w:trPr>
          <w:trHeight w:val="765" w:hRule="atLeast"/>
          <w:jc w:val="center"/>
        </w:trPr>
        <w:tc>
          <w:tcPr>
            <w:tcW w:w="11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宋体" w:hAnsi="宋体" w:eastAsia="宋体" w:cs="宋体"/>
                <w:b w:val="0"/>
                <w:bCs w:val="0"/>
                <w:color w:val="auto"/>
                <w:kern w:val="0"/>
                <w:sz w:val="24"/>
                <w:szCs w:val="24"/>
                <w:shd w:val="clear" w:color="auto" w:fill="auto"/>
                <w:lang w:bidi="ar-SA"/>
              </w:rPr>
            </w:pPr>
            <w:r>
              <w:rPr>
                <w:rFonts w:hint="eastAsia" w:ascii="宋体" w:hAnsi="宋体" w:eastAsia="宋体" w:cs="宋体"/>
                <w:color w:val="auto"/>
                <w:kern w:val="0"/>
                <w:sz w:val="24"/>
                <w:szCs w:val="24"/>
                <w:shd w:val="clear" w:color="auto" w:fill="auto"/>
                <w:lang w:val="en-US" w:eastAsia="zh-CN" w:bidi="ar-SA"/>
              </w:rPr>
              <w:t>赤坭镇</w:t>
            </w:r>
          </w:p>
        </w:tc>
        <w:tc>
          <w:tcPr>
            <w:tcW w:w="2263" w:type="dxa"/>
            <w:tcBorders>
              <w:top w:val="single" w:color="auto" w:sz="8" w:space="0"/>
              <w:left w:val="single" w:color="auto" w:sz="4" w:space="0"/>
              <w:bottom w:val="single" w:color="auto" w:sz="8" w:space="0"/>
              <w:right w:val="single" w:color="auto" w:sz="8" w:space="0"/>
            </w:tcBorders>
            <w:noWrap w:val="0"/>
            <w:vAlign w:val="center"/>
          </w:tcPr>
          <w:p>
            <w:pPr>
              <w:widowControl/>
              <w:spacing w:line="300" w:lineRule="exact"/>
              <w:ind w:left="-38" w:leftChars="-12"/>
              <w:jc w:val="center"/>
              <w:rPr>
                <w:rFonts w:hint="eastAsia" w:ascii="宋体" w:hAnsi="宋体" w:eastAsia="宋体" w:cs="宋体"/>
                <w:color w:val="auto"/>
                <w:kern w:val="0"/>
                <w:sz w:val="24"/>
                <w:szCs w:val="24"/>
                <w:shd w:val="clear" w:color="auto" w:fill="auto"/>
                <w:lang w:bidi="ar-SA"/>
              </w:rPr>
            </w:pPr>
            <w:r>
              <w:rPr>
                <w:rFonts w:hint="eastAsia" w:ascii="宋体" w:hAnsi="宋体" w:eastAsia="宋体" w:cs="宋体"/>
                <w:color w:val="auto"/>
                <w:kern w:val="0"/>
                <w:sz w:val="24"/>
                <w:szCs w:val="24"/>
                <w:shd w:val="clear" w:color="auto" w:fill="auto"/>
                <w:lang w:bidi="ar-SA"/>
              </w:rPr>
              <w:t>赤坭经济联合社</w:t>
            </w:r>
          </w:p>
        </w:tc>
        <w:tc>
          <w:tcPr>
            <w:tcW w:w="16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1.6230</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eastAsiaTheme="minorEastAsia"/>
                <w:color w:val="auto"/>
                <w:kern w:val="0"/>
                <w:sz w:val="24"/>
                <w:szCs w:val="24"/>
                <w:lang w:val="en-US" w:eastAsia="zh-CN"/>
              </w:rPr>
            </w:pPr>
            <w:r>
              <w:rPr>
                <w:rFonts w:hint="default" w:ascii="Times New Roman" w:hAnsi="Times New Roman" w:cs="Times New Roman" w:eastAsiaTheme="minorEastAsia"/>
                <w:color w:val="auto"/>
                <w:kern w:val="0"/>
                <w:sz w:val="24"/>
                <w:szCs w:val="24"/>
                <w:lang w:val="en-US" w:eastAsia="zh-CN"/>
              </w:rPr>
              <w:t>3.48</w:t>
            </w:r>
          </w:p>
        </w:tc>
      </w:tr>
      <w:tr>
        <w:tblPrEx>
          <w:tblCellMar>
            <w:top w:w="0" w:type="dxa"/>
            <w:left w:w="0" w:type="dxa"/>
            <w:bottom w:w="0" w:type="dxa"/>
            <w:right w:w="0" w:type="dxa"/>
          </w:tblCellMar>
        </w:tblPrEx>
        <w:trPr>
          <w:trHeight w:val="765" w:hRule="atLeast"/>
          <w:jc w:val="center"/>
        </w:trPr>
        <w:tc>
          <w:tcPr>
            <w:tcW w:w="3402"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firstLine="472"/>
              <w:jc w:val="center"/>
              <w:rPr>
                <w:rFonts w:hint="eastAsia" w:ascii="宋体" w:hAnsi="宋体" w:eastAsia="宋体" w:cs="宋体"/>
                <w:kern w:val="0"/>
                <w:sz w:val="24"/>
                <w:szCs w:val="24"/>
                <w:lang w:bidi="ar-SA"/>
              </w:rPr>
            </w:pPr>
            <w:r>
              <w:rPr>
                <w:rFonts w:hint="eastAsia" w:ascii="宋体" w:hAnsi="宋体" w:eastAsia="宋体" w:cs="宋体"/>
                <w:color w:val="auto"/>
                <w:kern w:val="0"/>
                <w:sz w:val="24"/>
                <w:szCs w:val="24"/>
                <w:lang w:bidi="ar-SA"/>
              </w:rPr>
              <w:t>合计</w:t>
            </w:r>
          </w:p>
        </w:tc>
        <w:tc>
          <w:tcPr>
            <w:tcW w:w="168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Times New Roman" w:hAnsi="Times New Roman" w:eastAsia="仿宋_GB2312" w:cs="Times New Roman"/>
                <w:kern w:val="0"/>
                <w:sz w:val="24"/>
                <w:szCs w:val="24"/>
                <w:lang w:val="en-US" w:eastAsia="zh-CN" w:bidi="ar-SA"/>
              </w:rPr>
            </w:pPr>
            <w:r>
              <w:rPr>
                <w:rFonts w:hint="default" w:ascii="Times New Roman" w:hAnsi="Times New Roman" w:eastAsia="仿宋_GB2312" w:cs="Times New Roman"/>
                <w:kern w:val="0"/>
                <w:sz w:val="24"/>
                <w:szCs w:val="24"/>
                <w:lang w:val="en-US" w:eastAsia="zh-CN" w:bidi="ar-SA"/>
              </w:rPr>
              <w:t>81.7380</w:t>
            </w:r>
          </w:p>
        </w:tc>
        <w:tc>
          <w:tcPr>
            <w:tcW w:w="171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0</w:t>
            </w:r>
          </w:p>
        </w:tc>
        <w:tc>
          <w:tcPr>
            <w:tcW w:w="188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Times New Roman" w:hAnsi="Times New Roman" w:cs="Times New Roman" w:eastAsiaTheme="minorEastAsia"/>
                <w:color w:val="auto"/>
                <w:kern w:val="0"/>
                <w:sz w:val="24"/>
                <w:szCs w:val="24"/>
                <w:lang w:val="en-US" w:eastAsia="zh-CN"/>
              </w:rPr>
            </w:pPr>
            <w:r>
              <w:rPr>
                <w:rFonts w:hint="default" w:ascii="Times New Roman" w:hAnsi="Times New Roman" w:cs="Times New Roman" w:eastAsiaTheme="minorEastAsia"/>
                <w:color w:val="auto"/>
                <w:kern w:val="0"/>
                <w:sz w:val="24"/>
                <w:szCs w:val="24"/>
                <w:lang w:val="en-US" w:eastAsia="zh-CN"/>
              </w:rPr>
              <w:t>174.94</w:t>
            </w:r>
          </w:p>
        </w:tc>
      </w:tr>
    </w:tbl>
    <w:p>
      <w:pPr>
        <w:keepNext w:val="0"/>
        <w:keepLines w:val="0"/>
        <w:pageBreakBefore w:val="0"/>
        <w:widowControl w:val="0"/>
        <w:kinsoku/>
        <w:wordWrap/>
        <w:overflowPunct/>
        <w:topLinePunct w:val="0"/>
        <w:autoSpaceDE/>
        <w:autoSpaceDN/>
        <w:bidi w:val="0"/>
        <w:adjustRightInd/>
        <w:snapToGrid/>
        <w:ind w:left="-320" w:leftChars="-100" w:right="-320" w:rightChars="-10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ind w:left="-320" w:leftChars="-100" w:right="-320" w:rightChars="-100"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1.征地社保费计提标准2.14万元/亩，征地社保费计算结果向上取整，精确到百元。</w:t>
      </w:r>
    </w:p>
    <w:p>
      <w:pPr>
        <w:keepNext w:val="0"/>
        <w:keepLines w:val="0"/>
        <w:pageBreakBefore w:val="0"/>
        <w:widowControl w:val="0"/>
        <w:numPr>
          <w:ilvl w:val="0"/>
          <w:numId w:val="0"/>
        </w:numPr>
        <w:kinsoku/>
        <w:wordWrap/>
        <w:overflowPunct/>
        <w:topLinePunct w:val="0"/>
        <w:autoSpaceDE/>
        <w:autoSpaceDN/>
        <w:bidi w:val="0"/>
        <w:adjustRightInd/>
        <w:snapToGrid/>
        <w:ind w:left="-320" w:leftChars="-100" w:right="-320" w:rightChars="-100" w:firstLine="480" w:firstLineChars="200"/>
        <w:jc w:val="left"/>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2.被征收土地属于农村集体经济组织留用地的，不计提征地社保费。</w:t>
      </w:r>
    </w:p>
    <w:p/>
    <w:p>
      <w:pPr>
        <w:pStyle w:val="2"/>
      </w:pPr>
    </w:p>
    <w:p>
      <w:pPr>
        <w:pStyle w:val="3"/>
      </w:pPr>
    </w:p>
    <w:p/>
    <w:p>
      <w:pPr>
        <w:pStyle w:val="2"/>
      </w:pPr>
    </w:p>
    <w:p>
      <w:pPr>
        <w:pStyle w:val="3"/>
      </w:pPr>
    </w:p>
    <w:p/>
    <w:p>
      <w:pPr>
        <w:keepNext w:val="0"/>
        <w:keepLines w:val="0"/>
        <w:pageBreakBefore w:val="0"/>
        <w:kinsoku/>
        <w:wordWrap/>
        <w:overflowPunct/>
        <w:topLinePunct w:val="0"/>
        <w:autoSpaceDE/>
        <w:autoSpaceDN/>
        <w:bidi w:val="0"/>
        <w:adjustRightInd/>
        <w:snapToGrid/>
        <w:spacing w:line="580" w:lineRule="exact"/>
        <w:textAlignment w:val="auto"/>
        <w:rPr>
          <w:rFonts w:hint="eastAsia" w:ascii="黑体" w:hAnsi="黑体" w:eastAsia="黑体" w:cs="黑体"/>
          <w:lang w:val="en-US" w:eastAsia="zh-CN"/>
        </w:rPr>
      </w:pPr>
      <w:r>
        <w:rPr>
          <w:rFonts w:hint="eastAsia" w:ascii="黑体" w:hAnsi="黑体" w:eastAsia="黑体" w:cs="黑体"/>
          <w:lang w:eastAsia="zh-CN"/>
        </w:rPr>
        <w:t>附件</w:t>
      </w:r>
      <w:r>
        <w:rPr>
          <w:rFonts w:hint="eastAsia" w:ascii="黑体" w:hAnsi="黑体" w:eastAsia="黑体" w:cs="黑体"/>
          <w:lang w:val="en-US" w:eastAsia="zh-CN"/>
        </w:rPr>
        <w:t>2</w:t>
      </w:r>
    </w:p>
    <w:p>
      <w:pPr>
        <w:widowControl/>
        <w:shd w:val="clear" w:color="auto" w:fill="FFFFFF"/>
        <w:spacing w:before="289" w:beforeLines="50" w:after="289" w:afterLines="50" w:line="580" w:lineRule="exact"/>
        <w:jc w:val="center"/>
        <w:rPr>
          <w:rFonts w:hint="eastAsia" w:ascii="方正小标宋简体" w:hAnsi="方正小标宋简体" w:eastAsia="方正小标宋简体" w:cs="方正小标宋简体"/>
          <w:color w:val="000000"/>
          <w:spacing w:val="-6"/>
          <w:kern w:val="0"/>
          <w:sz w:val="40"/>
          <w:szCs w:val="40"/>
          <w:shd w:val="clear" w:color="auto" w:fill="FFFFFF"/>
          <w:lang w:bidi="ar"/>
        </w:rPr>
      </w:pPr>
      <w:r>
        <w:rPr>
          <w:rFonts w:hint="eastAsia" w:ascii="方正小标宋简体" w:hAnsi="方正小标宋简体" w:eastAsia="方正小标宋简体" w:cs="方正小标宋简体"/>
          <w:color w:val="000000"/>
          <w:spacing w:val="-6"/>
          <w:kern w:val="0"/>
          <w:sz w:val="40"/>
          <w:szCs w:val="40"/>
          <w:shd w:val="clear" w:color="auto" w:fill="FFFFFF"/>
          <w:lang w:bidi="ar"/>
        </w:rPr>
        <w:t>项目涉及被征地村情况</w:t>
      </w:r>
    </w:p>
    <w:p>
      <w:pPr>
        <w:widowControl/>
        <w:shd w:val="clear" w:color="auto" w:fill="FFFFFF"/>
        <w:spacing w:line="580" w:lineRule="exact"/>
        <w:ind w:firstLine="615"/>
        <w:jc w:val="left"/>
        <w:rPr>
          <w:rFonts w:hint="default" w:ascii="仿宋_GB2312" w:hAnsi="仿宋_GB2312" w:cs="仿宋_GB2312"/>
          <w:color w:val="000000"/>
          <w:sz w:val="30"/>
          <w:szCs w:val="30"/>
          <w:lang w:val="en-US"/>
        </w:rPr>
      </w:pPr>
      <w:r>
        <w:rPr>
          <w:rFonts w:hint="eastAsia" w:ascii="仿宋_GB2312" w:hAnsi="仿宋_GB2312" w:cs="仿宋_GB2312"/>
          <w:color w:val="000000"/>
          <w:kern w:val="0"/>
          <w:sz w:val="30"/>
          <w:szCs w:val="30"/>
          <w:shd w:val="clear" w:color="auto" w:fill="FFFFFF"/>
          <w:lang w:bidi="ar"/>
        </w:rPr>
        <w:t>征地项目名称：</w:t>
      </w:r>
      <w:r>
        <w:rPr>
          <w:rFonts w:hint="eastAsia" w:ascii="仿宋_GB2312" w:hAnsi="仿宋_GB2312" w:cs="仿宋_GB2312"/>
          <w:color w:val="000000"/>
          <w:kern w:val="0"/>
          <w:sz w:val="30"/>
          <w:szCs w:val="30"/>
          <w:u w:val="single"/>
          <w:shd w:val="clear" w:color="auto" w:fill="FFFFFF"/>
          <w:lang w:eastAsia="zh-CN" w:bidi="ar"/>
        </w:rPr>
        <w:t>广州市花都区</w:t>
      </w:r>
      <w:r>
        <w:rPr>
          <w:rFonts w:hint="eastAsia" w:ascii="仿宋_GB2312" w:hAnsi="仿宋_GB2312" w:cs="仿宋_GB2312"/>
          <w:color w:val="000000"/>
          <w:kern w:val="0"/>
          <w:sz w:val="30"/>
          <w:szCs w:val="30"/>
          <w:u w:val="single"/>
          <w:shd w:val="clear" w:color="auto" w:fill="FFFFFF"/>
          <w:lang w:val="en-US" w:eastAsia="zh-CN" w:bidi="ar"/>
        </w:rPr>
        <w:t>2023年度第二批次城镇建设用地（G12-CN01-2地块）</w:t>
      </w:r>
    </w:p>
    <w:p>
      <w:pPr>
        <w:widowControl/>
        <w:shd w:val="clear" w:color="auto" w:fill="FFFFFF"/>
        <w:spacing w:line="580" w:lineRule="exact"/>
        <w:ind w:firstLine="615"/>
        <w:jc w:val="left"/>
        <w:rPr>
          <w:rFonts w:hint="default" w:ascii="仿宋_GB2312" w:hAnsi="仿宋_GB2312" w:eastAsia="仿宋_GB2312" w:cs="仿宋_GB2312"/>
          <w:color w:val="000000"/>
          <w:kern w:val="0"/>
          <w:sz w:val="30"/>
          <w:szCs w:val="30"/>
          <w:shd w:val="clear" w:color="auto" w:fill="FFFFFF"/>
          <w:lang w:val="en-US" w:eastAsia="zh-CN" w:bidi="ar"/>
        </w:rPr>
      </w:pPr>
      <w:r>
        <w:rPr>
          <w:rFonts w:hint="eastAsia" w:ascii="仿宋_GB2312" w:hAnsi="仿宋_GB2312" w:cs="仿宋_GB2312"/>
          <w:color w:val="000000"/>
          <w:kern w:val="0"/>
          <w:sz w:val="30"/>
          <w:szCs w:val="30"/>
          <w:shd w:val="clear" w:color="auto" w:fill="FFFFFF"/>
          <w:lang w:bidi="ar"/>
        </w:rPr>
        <w:t>用地单位：</w:t>
      </w:r>
      <w:r>
        <w:rPr>
          <w:rFonts w:hint="eastAsia" w:ascii="仿宋_GB2312" w:hAnsi="仿宋_GB2312" w:cs="仿宋_GB2312"/>
          <w:color w:val="000000"/>
          <w:kern w:val="0"/>
          <w:sz w:val="30"/>
          <w:szCs w:val="30"/>
          <w:u w:val="single"/>
          <w:shd w:val="clear" w:color="auto" w:fill="FFFFFF"/>
          <w:lang w:eastAsia="zh-CN" w:bidi="ar"/>
        </w:rPr>
        <w:t>广州市花都区土地开发储备中心</w:t>
      </w:r>
    </w:p>
    <w:tbl>
      <w:tblPr>
        <w:tblStyle w:val="5"/>
        <w:tblW w:w="8705" w:type="dxa"/>
        <w:jc w:val="center"/>
        <w:tblLayout w:type="fixed"/>
        <w:tblCellMar>
          <w:top w:w="0" w:type="dxa"/>
          <w:left w:w="0" w:type="dxa"/>
          <w:bottom w:w="0" w:type="dxa"/>
          <w:right w:w="0" w:type="dxa"/>
        </w:tblCellMar>
      </w:tblPr>
      <w:tblGrid>
        <w:gridCol w:w="1139"/>
        <w:gridCol w:w="2389"/>
        <w:gridCol w:w="2333"/>
        <w:gridCol w:w="2844"/>
      </w:tblGrid>
      <w:tr>
        <w:tblPrEx>
          <w:tblCellMar>
            <w:top w:w="0" w:type="dxa"/>
            <w:left w:w="0" w:type="dxa"/>
            <w:bottom w:w="0" w:type="dxa"/>
            <w:right w:w="0" w:type="dxa"/>
          </w:tblCellMar>
        </w:tblPrEx>
        <w:trPr>
          <w:trHeight w:val="1545" w:hRule="atLeast"/>
          <w:jc w:val="center"/>
        </w:trPr>
        <w:tc>
          <w:tcPr>
            <w:tcW w:w="3528"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bidi="ar-SA"/>
              </w:rPr>
            </w:pPr>
            <w:r>
              <w:rPr>
                <w:rFonts w:hint="eastAsia" w:ascii="仿宋_GB2312" w:hAnsi="仿宋_GB2312" w:eastAsia="仿宋_GB2312" w:cs="仿宋_GB2312"/>
                <w:color w:val="auto"/>
                <w:kern w:val="0"/>
                <w:sz w:val="24"/>
                <w:szCs w:val="24"/>
                <w:lang w:bidi="ar-SA"/>
              </w:rPr>
              <w:t>被征地单位</w:t>
            </w:r>
          </w:p>
        </w:tc>
        <w:tc>
          <w:tcPr>
            <w:tcW w:w="233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SA"/>
              </w:rPr>
              <w:t>家庭拟被征地且属于农村集体经济成员的16岁以上人口数（人）</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bidi="ar-SA"/>
              </w:rPr>
              <w:t>拟被征地承包户户数</w:t>
            </w:r>
          </w:p>
        </w:tc>
      </w:tr>
      <w:tr>
        <w:tblPrEx>
          <w:tblCellMar>
            <w:top w:w="0" w:type="dxa"/>
            <w:left w:w="0" w:type="dxa"/>
            <w:bottom w:w="0" w:type="dxa"/>
            <w:right w:w="0" w:type="dxa"/>
          </w:tblCellMar>
        </w:tblPrEx>
        <w:trPr>
          <w:trHeight w:val="790" w:hRule="atLeast"/>
          <w:jc w:val="center"/>
        </w:trPr>
        <w:tc>
          <w:tcPr>
            <w:tcW w:w="1139" w:type="dxa"/>
            <w:vMerge w:val="restart"/>
            <w:tcBorders>
              <w:top w:val="single" w:color="auto" w:sz="8" w:space="0"/>
              <w:left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ascii="仿宋_GB2312" w:hAnsi="仿宋_GB2312" w:cs="仿宋_GB2312"/>
                <w:b w:val="0"/>
                <w:bCs w:val="0"/>
                <w:color w:val="auto"/>
                <w:kern w:val="0"/>
                <w:sz w:val="24"/>
                <w:szCs w:val="24"/>
              </w:rPr>
            </w:pPr>
            <w:r>
              <w:rPr>
                <w:rFonts w:hint="eastAsia" w:ascii="仿宋_GB2312" w:hAnsi="仿宋_GB2312" w:cs="仿宋_GB2312"/>
                <w:color w:val="auto"/>
                <w:kern w:val="0"/>
                <w:sz w:val="24"/>
                <w:szCs w:val="24"/>
                <w:shd w:val="clear" w:color="auto" w:fill="auto"/>
                <w:lang w:val="en-US" w:eastAsia="zh-CN" w:bidi="ar-SA"/>
              </w:rPr>
              <w:t>广州市花都区赤坭镇</w:t>
            </w:r>
          </w:p>
        </w:tc>
        <w:tc>
          <w:tcPr>
            <w:tcW w:w="2389"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ascii="仿宋_GB2312" w:hAnsi="仿宋_GB2312" w:cs="仿宋_GB2312"/>
                <w:kern w:val="0"/>
                <w:sz w:val="24"/>
                <w:szCs w:val="24"/>
                <w:lang w:bidi="ar-SA"/>
              </w:rPr>
            </w:pPr>
            <w:r>
              <w:rPr>
                <w:rFonts w:hint="eastAsia" w:ascii="仿宋_GB2312" w:hAnsi="仿宋_GB2312" w:cs="仿宋_GB2312"/>
                <w:color w:val="auto"/>
                <w:kern w:val="0"/>
                <w:sz w:val="24"/>
                <w:szCs w:val="24"/>
                <w:shd w:val="clear" w:color="auto" w:fill="auto"/>
                <w:lang w:bidi="ar-SA"/>
              </w:rPr>
              <w:t>赤坭第八经济合作社</w:t>
            </w:r>
            <w:r>
              <w:rPr>
                <w:rFonts w:hint="eastAsia" w:ascii="仿宋_GB2312" w:hAnsi="仿宋_GB2312" w:cs="仿宋_GB2312"/>
                <w:color w:val="auto"/>
                <w:kern w:val="0"/>
                <w:sz w:val="24"/>
                <w:szCs w:val="24"/>
                <w:shd w:val="clear" w:color="auto" w:fill="auto"/>
                <w:lang w:eastAsia="zh-CN" w:bidi="ar-SA"/>
              </w:rPr>
              <w:t>、</w:t>
            </w:r>
            <w:r>
              <w:rPr>
                <w:rFonts w:hint="eastAsia" w:ascii="仿宋_GB2312" w:hAnsi="仿宋_GB2312" w:cs="仿宋_GB2312"/>
                <w:color w:val="auto"/>
                <w:kern w:val="0"/>
                <w:sz w:val="24"/>
                <w:szCs w:val="24"/>
                <w:shd w:val="clear" w:color="auto" w:fill="auto"/>
                <w:lang w:bidi="ar-SA"/>
              </w:rPr>
              <w:t>赤坭第二经济合作社</w:t>
            </w:r>
            <w:r>
              <w:rPr>
                <w:rFonts w:hint="eastAsia" w:ascii="仿宋_GB2312" w:hAnsi="仿宋_GB2312" w:cs="仿宋_GB2312"/>
                <w:color w:val="auto"/>
                <w:kern w:val="0"/>
                <w:sz w:val="24"/>
                <w:szCs w:val="24"/>
                <w:shd w:val="clear" w:color="auto" w:fill="auto"/>
                <w:lang w:eastAsia="zh-CN" w:bidi="ar-SA"/>
              </w:rPr>
              <w:t>、</w:t>
            </w:r>
            <w:r>
              <w:rPr>
                <w:rFonts w:hint="eastAsia" w:ascii="仿宋_GB2312" w:hAnsi="仿宋_GB2312" w:cs="仿宋_GB2312"/>
                <w:color w:val="auto"/>
                <w:kern w:val="0"/>
                <w:sz w:val="24"/>
                <w:szCs w:val="24"/>
                <w:shd w:val="clear" w:color="auto" w:fill="auto"/>
                <w:lang w:bidi="ar-SA"/>
              </w:rPr>
              <w:t>赤坭第一经济合作社</w:t>
            </w:r>
            <w:r>
              <w:rPr>
                <w:rFonts w:hint="eastAsia" w:ascii="仿宋_GB2312" w:hAnsi="仿宋_GB2312" w:cs="仿宋_GB2312"/>
                <w:color w:val="auto"/>
                <w:kern w:val="0"/>
                <w:sz w:val="24"/>
                <w:szCs w:val="24"/>
                <w:shd w:val="clear" w:color="auto" w:fill="auto"/>
                <w:lang w:eastAsia="zh-CN" w:bidi="ar-SA"/>
              </w:rPr>
              <w:t>（共有）</w:t>
            </w:r>
          </w:p>
        </w:tc>
        <w:tc>
          <w:tcPr>
            <w:tcW w:w="233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546</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590" w:leftChars="-12" w:hanging="628" w:hangingChars="262"/>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247</w:t>
            </w:r>
          </w:p>
        </w:tc>
      </w:tr>
      <w:tr>
        <w:tblPrEx>
          <w:tblCellMar>
            <w:top w:w="0" w:type="dxa"/>
            <w:left w:w="0" w:type="dxa"/>
            <w:bottom w:w="0" w:type="dxa"/>
            <w:right w:w="0" w:type="dxa"/>
          </w:tblCellMar>
        </w:tblPrEx>
        <w:trPr>
          <w:trHeight w:val="765" w:hRule="atLeast"/>
          <w:jc w:val="center"/>
        </w:trPr>
        <w:tc>
          <w:tcPr>
            <w:tcW w:w="1139" w:type="dxa"/>
            <w:vMerge w:val="continue"/>
            <w:tcBorders>
              <w:left w:val="single" w:color="auto" w:sz="8" w:space="0"/>
              <w:right w:val="single" w:color="auto" w:sz="8" w:space="0"/>
            </w:tcBorders>
            <w:noWrap w:val="0"/>
            <w:tcMar>
              <w:left w:w="108" w:type="dxa"/>
              <w:right w:w="108" w:type="dxa"/>
            </w:tcMar>
            <w:vAlign w:val="center"/>
          </w:tcPr>
          <w:p>
            <w:pPr>
              <w:widowControl/>
              <w:spacing w:line="300" w:lineRule="exact"/>
              <w:ind w:left="-38" w:leftChars="-12"/>
              <w:jc w:val="both"/>
              <w:rPr>
                <w:rFonts w:ascii="仿宋_GB2312" w:hAnsi="仿宋_GB2312" w:cs="仿宋_GB2312"/>
                <w:b w:val="0"/>
                <w:bCs w:val="0"/>
                <w:color w:val="auto"/>
                <w:kern w:val="0"/>
                <w:sz w:val="24"/>
                <w:szCs w:val="24"/>
              </w:rPr>
            </w:pPr>
          </w:p>
        </w:tc>
        <w:tc>
          <w:tcPr>
            <w:tcW w:w="2389"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bidi="ar-SA"/>
              </w:rPr>
            </w:pPr>
            <w:r>
              <w:rPr>
                <w:rFonts w:hint="eastAsia" w:ascii="仿宋_GB2312" w:hAnsi="仿宋_GB2312" w:cs="仿宋_GB2312"/>
                <w:color w:val="auto"/>
                <w:kern w:val="0"/>
                <w:sz w:val="24"/>
                <w:szCs w:val="24"/>
                <w:shd w:val="clear" w:color="auto" w:fill="auto"/>
                <w:lang w:bidi="ar-SA"/>
              </w:rPr>
              <w:t>赤坭第二经济合作社</w:t>
            </w:r>
            <w:r>
              <w:rPr>
                <w:rFonts w:hint="eastAsia" w:ascii="仿宋_GB2312" w:hAnsi="仿宋_GB2312" w:cs="仿宋_GB2312"/>
                <w:color w:val="auto"/>
                <w:kern w:val="0"/>
                <w:sz w:val="24"/>
                <w:szCs w:val="24"/>
                <w:shd w:val="clear" w:color="auto" w:fill="auto"/>
                <w:lang w:eastAsia="zh-CN" w:bidi="ar-SA"/>
              </w:rPr>
              <w:t>、</w:t>
            </w:r>
            <w:r>
              <w:rPr>
                <w:rFonts w:hint="eastAsia" w:ascii="仿宋_GB2312" w:hAnsi="仿宋_GB2312" w:cs="仿宋_GB2312"/>
                <w:color w:val="auto"/>
                <w:kern w:val="0"/>
                <w:sz w:val="24"/>
                <w:szCs w:val="24"/>
                <w:shd w:val="clear" w:color="auto" w:fill="auto"/>
                <w:lang w:bidi="ar-SA"/>
              </w:rPr>
              <w:t>赤坭第一经济合作社</w:t>
            </w:r>
            <w:r>
              <w:rPr>
                <w:rFonts w:hint="eastAsia" w:ascii="仿宋_GB2312" w:hAnsi="仿宋_GB2312" w:cs="仿宋_GB2312"/>
                <w:color w:val="auto"/>
                <w:kern w:val="0"/>
                <w:sz w:val="24"/>
                <w:szCs w:val="24"/>
                <w:shd w:val="clear" w:color="auto" w:fill="auto"/>
                <w:lang w:eastAsia="zh-CN" w:bidi="ar-SA"/>
              </w:rPr>
              <w:t>（共有）</w:t>
            </w:r>
          </w:p>
        </w:tc>
        <w:tc>
          <w:tcPr>
            <w:tcW w:w="233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rPr>
            </w:pPr>
            <w:r>
              <w:rPr>
                <w:rFonts w:hint="eastAsia" w:ascii="仿宋_GB2312" w:hAnsi="仿宋_GB2312" w:cs="仿宋_GB2312"/>
                <w:kern w:val="0"/>
                <w:sz w:val="24"/>
                <w:szCs w:val="24"/>
                <w:lang w:val="en-US" w:eastAsia="zh-CN"/>
              </w:rPr>
              <w:t>403</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186</w:t>
            </w:r>
          </w:p>
        </w:tc>
      </w:tr>
      <w:tr>
        <w:tblPrEx>
          <w:tblCellMar>
            <w:top w:w="0" w:type="dxa"/>
            <w:left w:w="0" w:type="dxa"/>
            <w:bottom w:w="0" w:type="dxa"/>
            <w:right w:w="0" w:type="dxa"/>
          </w:tblCellMar>
        </w:tblPrEx>
        <w:trPr>
          <w:trHeight w:val="765" w:hRule="atLeast"/>
          <w:jc w:val="center"/>
        </w:trPr>
        <w:tc>
          <w:tcPr>
            <w:tcW w:w="1139" w:type="dxa"/>
            <w:vMerge w:val="continue"/>
            <w:tcBorders>
              <w:left w:val="single" w:color="auto" w:sz="8" w:space="0"/>
              <w:right w:val="single" w:color="auto" w:sz="8" w:space="0"/>
            </w:tcBorders>
            <w:noWrap w:val="0"/>
            <w:tcMar>
              <w:left w:w="108" w:type="dxa"/>
              <w:right w:w="108" w:type="dxa"/>
            </w:tcMar>
            <w:vAlign w:val="center"/>
          </w:tcPr>
          <w:p>
            <w:pPr>
              <w:widowControl/>
              <w:spacing w:line="300" w:lineRule="exact"/>
              <w:ind w:left="-38" w:leftChars="-12"/>
              <w:jc w:val="both"/>
              <w:rPr>
                <w:rFonts w:ascii="仿宋_GB2312" w:hAnsi="仿宋_GB2312" w:cs="仿宋_GB2312"/>
                <w:b w:val="0"/>
                <w:bCs w:val="0"/>
                <w:color w:val="auto"/>
                <w:kern w:val="0"/>
                <w:sz w:val="24"/>
                <w:szCs w:val="24"/>
              </w:rPr>
            </w:pPr>
          </w:p>
        </w:tc>
        <w:tc>
          <w:tcPr>
            <w:tcW w:w="2389"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ascii="仿宋_GB2312" w:hAnsi="仿宋_GB2312" w:cs="仿宋_GB2312"/>
                <w:color w:val="auto"/>
                <w:kern w:val="0"/>
                <w:sz w:val="24"/>
                <w:szCs w:val="24"/>
                <w:lang w:bidi="ar-SA"/>
              </w:rPr>
            </w:pPr>
            <w:r>
              <w:rPr>
                <w:rFonts w:hint="eastAsia" w:ascii="仿宋_GB2312" w:hAnsi="仿宋_GB2312" w:cs="仿宋_GB2312"/>
                <w:color w:val="auto"/>
                <w:kern w:val="0"/>
                <w:sz w:val="24"/>
                <w:szCs w:val="24"/>
                <w:shd w:val="clear" w:color="auto" w:fill="auto"/>
                <w:lang w:bidi="ar-SA"/>
              </w:rPr>
              <w:t>赤坭第二经济合作社</w:t>
            </w:r>
          </w:p>
        </w:tc>
        <w:tc>
          <w:tcPr>
            <w:tcW w:w="233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256</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120</w:t>
            </w:r>
          </w:p>
        </w:tc>
      </w:tr>
      <w:tr>
        <w:tblPrEx>
          <w:tblCellMar>
            <w:top w:w="0" w:type="dxa"/>
            <w:left w:w="0" w:type="dxa"/>
            <w:bottom w:w="0" w:type="dxa"/>
            <w:right w:w="0" w:type="dxa"/>
          </w:tblCellMar>
        </w:tblPrEx>
        <w:trPr>
          <w:trHeight w:val="765" w:hRule="atLeast"/>
          <w:jc w:val="center"/>
        </w:trPr>
        <w:tc>
          <w:tcPr>
            <w:tcW w:w="1139" w:type="dxa"/>
            <w:vMerge w:val="continue"/>
            <w:tcBorders>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both"/>
              <w:rPr>
                <w:rFonts w:hint="eastAsia" w:ascii="仿宋_GB2312" w:hAnsi="仿宋_GB2312" w:cs="仿宋_GB2312"/>
                <w:b w:val="0"/>
                <w:bCs w:val="0"/>
                <w:color w:val="auto"/>
                <w:kern w:val="0"/>
                <w:sz w:val="24"/>
                <w:szCs w:val="24"/>
                <w:shd w:val="clear" w:color="auto" w:fill="auto"/>
                <w:lang w:bidi="ar-SA"/>
              </w:rPr>
            </w:pPr>
          </w:p>
        </w:tc>
        <w:tc>
          <w:tcPr>
            <w:tcW w:w="2389" w:type="dxa"/>
            <w:tcBorders>
              <w:top w:val="single" w:color="auto" w:sz="8" w:space="0"/>
              <w:left w:val="single" w:color="auto" w:sz="8" w:space="0"/>
              <w:bottom w:val="single" w:color="auto" w:sz="8" w:space="0"/>
              <w:right w:val="single" w:color="auto" w:sz="8" w:space="0"/>
            </w:tcBorders>
            <w:noWrap w:val="0"/>
            <w:vAlign w:val="center"/>
          </w:tcPr>
          <w:p>
            <w:pPr>
              <w:widowControl/>
              <w:spacing w:line="300" w:lineRule="exact"/>
              <w:ind w:left="-38" w:leftChars="-12"/>
              <w:jc w:val="center"/>
              <w:rPr>
                <w:rFonts w:hint="eastAsia" w:ascii="仿宋_GB2312" w:hAnsi="仿宋_GB2312" w:cs="仿宋_GB2312"/>
                <w:color w:val="auto"/>
                <w:kern w:val="0"/>
                <w:sz w:val="24"/>
                <w:szCs w:val="24"/>
                <w:shd w:val="clear" w:color="auto" w:fill="auto"/>
                <w:lang w:bidi="ar-SA"/>
              </w:rPr>
            </w:pPr>
            <w:r>
              <w:rPr>
                <w:rFonts w:hint="eastAsia" w:ascii="仿宋_GB2312" w:hAnsi="仿宋_GB2312" w:cs="仿宋_GB2312"/>
                <w:color w:val="auto"/>
                <w:kern w:val="0"/>
                <w:sz w:val="24"/>
                <w:szCs w:val="24"/>
                <w:shd w:val="clear" w:color="auto" w:fill="auto"/>
                <w:lang w:bidi="ar-SA"/>
              </w:rPr>
              <w:t>赤坭经济联合社</w:t>
            </w:r>
          </w:p>
        </w:tc>
        <w:tc>
          <w:tcPr>
            <w:tcW w:w="233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cs="仿宋_GB2312"/>
                <w:color w:val="auto"/>
                <w:kern w:val="0"/>
                <w:sz w:val="24"/>
                <w:szCs w:val="24"/>
                <w:lang w:val="en-US" w:eastAsia="zh-CN" w:bidi="ar-SA"/>
              </w:rPr>
              <w:t>1190</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537</w:t>
            </w:r>
          </w:p>
        </w:tc>
      </w:tr>
      <w:tr>
        <w:tblPrEx>
          <w:tblCellMar>
            <w:top w:w="0" w:type="dxa"/>
            <w:left w:w="0" w:type="dxa"/>
            <w:bottom w:w="0" w:type="dxa"/>
            <w:right w:w="0" w:type="dxa"/>
          </w:tblCellMar>
        </w:tblPrEx>
        <w:trPr>
          <w:trHeight w:val="765" w:hRule="atLeast"/>
          <w:jc w:val="center"/>
        </w:trPr>
        <w:tc>
          <w:tcPr>
            <w:tcW w:w="3528" w:type="dxa"/>
            <w:gridSpan w:val="2"/>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firstLine="472"/>
              <w:jc w:val="center"/>
              <w:rPr>
                <w:rFonts w:hint="eastAsia" w:ascii="仿宋_GB2312" w:hAnsi="仿宋_GB2312" w:cs="仿宋_GB2312"/>
                <w:kern w:val="0"/>
                <w:sz w:val="24"/>
                <w:szCs w:val="24"/>
                <w:lang w:bidi="ar-SA"/>
              </w:rPr>
            </w:pPr>
            <w:r>
              <w:rPr>
                <w:rFonts w:ascii="仿宋_GB2312" w:hAnsi="仿宋_GB2312" w:cs="仿宋_GB2312"/>
                <w:color w:val="auto"/>
                <w:kern w:val="0"/>
                <w:sz w:val="24"/>
                <w:szCs w:val="24"/>
                <w:lang w:bidi="ar-SA"/>
              </w:rPr>
              <w:t>合计</w:t>
            </w:r>
          </w:p>
        </w:tc>
        <w:tc>
          <w:tcPr>
            <w:tcW w:w="233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2395</w:t>
            </w:r>
          </w:p>
        </w:tc>
        <w:tc>
          <w:tcPr>
            <w:tcW w:w="28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00" w:lineRule="exact"/>
              <w:ind w:left="-38" w:leftChars="-12"/>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cs="仿宋_GB2312"/>
                <w:color w:val="auto"/>
                <w:kern w:val="0"/>
                <w:sz w:val="24"/>
                <w:szCs w:val="24"/>
                <w:lang w:val="en-US" w:eastAsia="zh-CN"/>
              </w:rPr>
              <w:t>1090</w:t>
            </w:r>
          </w:p>
        </w:tc>
      </w:tr>
    </w:tbl>
    <w:p>
      <w:pPr>
        <w:shd w:val="clear" w:color="auto" w:fill="FFFFFF"/>
        <w:spacing w:line="520" w:lineRule="exact"/>
        <w:ind w:firstLine="612"/>
        <w:jc w:val="left"/>
        <w:rPr>
          <w:rFonts w:hint="eastAsia"/>
          <w:bCs/>
          <w:kern w:val="0"/>
          <w:sz w:val="30"/>
          <w:szCs w:val="30"/>
          <w:shd w:val="clear" w:color="auto" w:fill="FFFFFF"/>
        </w:rPr>
      </w:pPr>
      <w:r>
        <w:rPr>
          <w:rFonts w:hint="eastAsia"/>
          <w:bCs/>
          <w:kern w:val="0"/>
          <w:sz w:val="30"/>
          <w:szCs w:val="30"/>
          <w:shd w:val="clear" w:color="auto" w:fill="FFFFFF"/>
        </w:rPr>
        <w:t>备注：</w:t>
      </w:r>
      <w:r>
        <w:rPr>
          <w:bCs/>
          <w:kern w:val="0"/>
          <w:sz w:val="30"/>
          <w:szCs w:val="30"/>
          <w:shd w:val="clear" w:color="auto" w:fill="FFFFFF"/>
        </w:rPr>
        <w:t>农村集体经济组织</w:t>
      </w:r>
      <w:r>
        <w:rPr>
          <w:rFonts w:hint="eastAsia"/>
          <w:bCs/>
          <w:kern w:val="0"/>
          <w:sz w:val="30"/>
          <w:szCs w:val="30"/>
          <w:shd w:val="clear" w:color="auto" w:fill="FFFFFF"/>
        </w:rPr>
        <w:t>如</w:t>
      </w:r>
      <w:r>
        <w:rPr>
          <w:bCs/>
          <w:kern w:val="0"/>
          <w:sz w:val="30"/>
          <w:szCs w:val="30"/>
          <w:shd w:val="clear" w:color="auto" w:fill="FFFFFF"/>
        </w:rPr>
        <w:t>实行土地股份制经济或者集体统一经营土地</w:t>
      </w:r>
      <w:r>
        <w:rPr>
          <w:rFonts w:hint="eastAsia"/>
          <w:bCs/>
          <w:kern w:val="0"/>
          <w:sz w:val="30"/>
          <w:szCs w:val="30"/>
          <w:shd w:val="clear" w:color="auto" w:fill="FFFFFF"/>
        </w:rPr>
        <w:t>的，在此表“</w:t>
      </w:r>
      <w:r>
        <w:rPr>
          <w:rFonts w:hint="eastAsia" w:ascii="Times New Roman" w:hAnsi="Times New Roman" w:eastAsia="仿宋_GB2312" w:cs="Times New Roman"/>
          <w:bCs/>
          <w:color w:val="auto"/>
          <w:kern w:val="0"/>
          <w:sz w:val="30"/>
          <w:szCs w:val="30"/>
          <w:shd w:val="clear" w:color="auto" w:fill="FFFFFF"/>
          <w:lang w:bidi="ar-SA"/>
        </w:rPr>
        <w:t>拟被征地承包户户数</w:t>
      </w:r>
      <w:r>
        <w:rPr>
          <w:rFonts w:hint="eastAsia"/>
          <w:bCs/>
          <w:kern w:val="0"/>
          <w:sz w:val="30"/>
          <w:szCs w:val="30"/>
          <w:shd w:val="clear" w:color="auto" w:fill="FFFFFF"/>
        </w:rPr>
        <w:t>”栏说明有关情况。</w:t>
      </w:r>
    </w:p>
    <w:p>
      <w:pPr>
        <w:shd w:val="clear" w:color="auto" w:fill="FFFFFF"/>
        <w:spacing w:line="580" w:lineRule="exact"/>
        <w:ind w:firstLine="0"/>
        <w:jc w:val="left"/>
        <w:rPr>
          <w:rFonts w:ascii="仿宋_GB2312" w:hAnsi="仿宋_GB2312" w:cs="仿宋_GB2312"/>
          <w:color w:val="000000"/>
          <w:kern w:val="0"/>
          <w:shd w:val="clear" w:color="auto" w:fill="FFFFFF"/>
          <w:lang w:bidi="ar"/>
        </w:rPr>
      </w:pPr>
    </w:p>
    <w:p>
      <w:pPr>
        <w:pStyle w:val="2"/>
        <w:shd w:val="clear" w:color="auto" w:fill="FFFFFF"/>
        <w:spacing w:line="580" w:lineRule="exact"/>
        <w:ind w:firstLine="472"/>
        <w:jc w:val="left"/>
        <w:rPr>
          <w:rFonts w:hint="eastAsia" w:ascii="Times New Roman" w:hAnsi="Times New Roman" w:cs="Times New Roman"/>
          <w:color w:val="auto"/>
          <w:kern w:val="2"/>
          <w:shd w:val="clear" w:color="auto" w:fill="auto"/>
          <w:lang w:bidi="ar"/>
        </w:rPr>
      </w:pPr>
    </w:p>
    <w:p>
      <w:pPr>
        <w:shd w:val="clear" w:color="auto" w:fill="FFFFFF"/>
        <w:spacing w:line="520" w:lineRule="exact"/>
        <w:ind w:firstLine="320" w:firstLineChars="100"/>
        <w:jc w:val="left"/>
        <w:rPr>
          <w:rFonts w:hint="eastAsia" w:ascii="仿宋_GB2312" w:hAnsi="仿宋_GB2312" w:cs="仿宋_GB2312"/>
          <w:color w:val="000000"/>
          <w:kern w:val="0"/>
          <w:sz w:val="32"/>
          <w:szCs w:val="32"/>
          <w:shd w:val="clear" w:color="auto" w:fill="FFFFFF"/>
          <w:lang w:bidi="ar"/>
        </w:rPr>
      </w:pPr>
      <w:r>
        <w:rPr>
          <w:rFonts w:hint="eastAsia" w:ascii="仿宋_GB2312" w:hAnsi="仿宋_GB2312" w:cs="仿宋_GB2312"/>
          <w:color w:val="000000"/>
          <w:kern w:val="0"/>
          <w:shd w:val="clear" w:color="auto" w:fill="FFFFFF"/>
          <w:lang w:bidi="ar"/>
        </w:rPr>
        <w:t xml:space="preserve">              </w:t>
      </w:r>
      <w:r>
        <w:rPr>
          <w:rFonts w:hint="eastAsia" w:ascii="仿宋_GB2312" w:hAnsi="仿宋_GB2312" w:cs="仿宋_GB2312"/>
          <w:color w:val="000000"/>
          <w:kern w:val="0"/>
          <w:shd w:val="clear" w:color="auto" w:fill="FFFFFF"/>
          <w:lang w:val="en-US" w:eastAsia="zh-CN" w:bidi="ar"/>
        </w:rPr>
        <w:t xml:space="preserve">        </w:t>
      </w:r>
      <w:r>
        <w:rPr>
          <w:rFonts w:hint="eastAsia" w:ascii="仿宋_GB2312" w:hAnsi="仿宋_GB2312" w:cs="仿宋_GB2312"/>
          <w:color w:val="000000"/>
          <w:kern w:val="0"/>
          <w:shd w:val="clear" w:color="auto" w:fill="FFFFFF"/>
          <w:lang w:bidi="ar"/>
        </w:rPr>
        <w:t xml:space="preserve"> </w:t>
      </w:r>
      <w:r>
        <w:rPr>
          <w:rFonts w:hint="eastAsia" w:ascii="仿宋_GB2312" w:hAnsi="仿宋_GB2312" w:cs="仿宋_GB2312"/>
          <w:color w:val="000000"/>
          <w:kern w:val="0"/>
          <w:sz w:val="32"/>
          <w:szCs w:val="32"/>
          <w:shd w:val="clear" w:color="auto" w:fill="FFFFFF"/>
          <w:lang w:eastAsia="zh-CN" w:bidi="ar"/>
        </w:rPr>
        <w:t>广州市花都区赤坭</w:t>
      </w:r>
      <w:r>
        <w:rPr>
          <w:rFonts w:hint="eastAsia" w:ascii="仿宋_GB2312" w:hAnsi="仿宋_GB2312" w:cs="仿宋_GB2312"/>
          <w:color w:val="000000"/>
          <w:kern w:val="0"/>
          <w:sz w:val="32"/>
          <w:szCs w:val="32"/>
          <w:shd w:val="clear" w:color="auto" w:fill="FFFFFF"/>
          <w:lang w:bidi="ar"/>
        </w:rPr>
        <w:t>镇人民政府</w:t>
      </w:r>
    </w:p>
    <w:p>
      <w:pPr>
        <w:shd w:val="clear" w:color="auto" w:fill="FFFFFF"/>
        <w:spacing w:line="520" w:lineRule="exact"/>
        <w:ind w:firstLine="4800" w:firstLineChars="1500"/>
        <w:jc w:val="left"/>
      </w:pPr>
      <w:r>
        <w:rPr>
          <w:rFonts w:hint="eastAsia" w:ascii="仿宋_GB2312" w:hAnsi="仿宋_GB2312" w:cs="仿宋_GB2312"/>
          <w:color w:val="000000"/>
          <w:kern w:val="0"/>
          <w:sz w:val="32"/>
          <w:szCs w:val="32"/>
          <w:shd w:val="clear" w:color="auto" w:fill="FFFFFF"/>
          <w:lang w:val="en-US" w:eastAsia="zh-CN" w:bidi="ar"/>
        </w:rPr>
        <w:t>2023</w:t>
      </w:r>
      <w:r>
        <w:rPr>
          <w:rFonts w:hint="eastAsia" w:ascii="仿宋_GB2312" w:hAnsi="仿宋_GB2312" w:cs="仿宋_GB2312"/>
          <w:color w:val="000000"/>
          <w:kern w:val="0"/>
          <w:sz w:val="32"/>
          <w:szCs w:val="32"/>
          <w:shd w:val="clear" w:color="auto" w:fill="FFFFFF"/>
          <w:lang w:bidi="ar"/>
        </w:rPr>
        <w:t>年</w:t>
      </w:r>
      <w:r>
        <w:rPr>
          <w:rFonts w:hint="eastAsia" w:ascii="仿宋_GB2312" w:hAnsi="仿宋_GB2312" w:cs="仿宋_GB2312"/>
          <w:color w:val="000000"/>
          <w:kern w:val="0"/>
          <w:sz w:val="32"/>
          <w:szCs w:val="32"/>
          <w:shd w:val="clear" w:color="auto" w:fill="FFFFFF"/>
          <w:lang w:val="en-US" w:eastAsia="zh-CN" w:bidi="ar"/>
        </w:rPr>
        <w:t>2</w:t>
      </w:r>
      <w:r>
        <w:rPr>
          <w:rFonts w:hint="eastAsia" w:ascii="仿宋_GB2312" w:hAnsi="仿宋_GB2312" w:cs="仿宋_GB2312"/>
          <w:color w:val="000000"/>
          <w:kern w:val="0"/>
          <w:sz w:val="32"/>
          <w:szCs w:val="32"/>
          <w:shd w:val="clear" w:color="auto" w:fill="FFFFFF"/>
          <w:lang w:bidi="ar"/>
        </w:rPr>
        <w:t>月</w:t>
      </w:r>
      <w:r>
        <w:rPr>
          <w:rFonts w:hint="eastAsia" w:ascii="仿宋_GB2312" w:hAnsi="仿宋_GB2312" w:cs="仿宋_GB2312"/>
          <w:color w:val="000000"/>
          <w:kern w:val="0"/>
          <w:sz w:val="32"/>
          <w:szCs w:val="32"/>
          <w:shd w:val="clear" w:color="auto" w:fill="FFFFFF"/>
          <w:lang w:val="en-US" w:eastAsia="zh-CN" w:bidi="ar"/>
        </w:rPr>
        <w:t>1</w:t>
      </w:r>
      <w:r>
        <w:rPr>
          <w:rFonts w:hint="eastAsia" w:ascii="仿宋_GB2312" w:hAnsi="仿宋_GB2312" w:cs="仿宋_GB2312"/>
          <w:color w:val="000000"/>
          <w:kern w:val="0"/>
          <w:sz w:val="32"/>
          <w:szCs w:val="32"/>
          <w:shd w:val="clear" w:color="auto" w:fill="FFFFFF"/>
          <w:lang w:bidi="ar"/>
        </w:rPr>
        <w:t>日</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87EB8"/>
    <w:rsid w:val="2D0514A5"/>
    <w:rsid w:val="44890DFE"/>
    <w:rsid w:val="4EF9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2023-02-16T09:39:47Z</dcterms:created>
  <dc:creator>Administrator</dc:creator>
  <cp:lastModifiedBy>NTKO</cp:lastModifiedBy>
  <dcterms:modified xsi:type="dcterms:W3CDTF">2023-02-16T10:00:20Z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DE7A466D66CF40529F4926D9C8ADDA4B</vt:lpwstr>
  </property>
</Properties>
</file>