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jc w:val="both"/>
        <w:textAlignment w:val="auto"/>
        <w:rPr>
          <w:rFonts w:hint="eastAsia" w:ascii="方正小标宋_GBK" w:hAnsi="方正小标宋_GBK" w:eastAsia="方正小标宋_GBK" w:cs="方正小标宋_GBK"/>
          <w:b w:val="0"/>
          <w:bCs/>
          <w:color w:val="000000"/>
          <w:sz w:val="44"/>
          <w:szCs w:val="44"/>
          <w:lang w:val="en-US" w:eastAsia="zh-CN"/>
        </w:rPr>
      </w:pP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关于</w:t>
      </w:r>
      <w:r>
        <w:rPr>
          <w:rFonts w:hint="eastAsia" w:ascii="方正小标宋简体" w:hAnsi="方正小标宋简体" w:eastAsia="方正小标宋简体" w:cs="方正小标宋简体"/>
          <w:color w:val="FF0000"/>
          <w:sz w:val="44"/>
          <w:szCs w:val="44"/>
          <w:lang w:val="en-US" w:eastAsia="zh-CN"/>
        </w:rPr>
        <w:t>广州市花都区2022年度第五十五批次城镇建设用地（花山第一工业园）</w:t>
      </w:r>
      <w:r>
        <w:rPr>
          <w:rFonts w:hint="eastAsia" w:ascii="方正小标宋简体" w:hAnsi="方正小标宋简体" w:eastAsia="方正小标宋简体" w:cs="方正小标宋简体"/>
          <w:color w:val="auto"/>
          <w:sz w:val="44"/>
          <w:szCs w:val="44"/>
          <w:lang w:eastAsia="zh-CN"/>
        </w:rPr>
        <w:t>征地项目的</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下称劳社部发〔2007〕14号）和《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FF0000"/>
          <w:lang w:val="en-US" w:eastAsia="zh-CN"/>
        </w:rPr>
        <w:t>广州市花都区2022年度第五十五批次城镇建设用地（花山第一工业园）</w:t>
      </w:r>
      <w:r>
        <w:rPr>
          <w:rFonts w:hint="eastAsia" w:ascii="仿宋_GB2312" w:hAnsi="仿宋_GB2312" w:eastAsia="仿宋_GB2312" w:cs="仿宋_GB2312"/>
          <w:color w:val="auto"/>
          <w:lang w:val="en-US" w:eastAsia="zh-CN"/>
        </w:rPr>
        <w:t>征地项目被征地农民养老保障方案如下：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FF0000"/>
          <w:lang w:val="en-US" w:eastAsia="zh-CN"/>
        </w:rPr>
        <w:t>广州市花都区2022年度第五十五批次城镇建设用地（花山第一工业园）</w:t>
      </w:r>
      <w:r>
        <w:rPr>
          <w:rFonts w:hint="eastAsia" w:ascii="仿宋_GB2312" w:hAnsi="仿宋_GB2312" w:eastAsia="仿宋_GB2312" w:cs="仿宋_GB2312"/>
          <w:color w:val="auto"/>
          <w:lang w:val="en-US" w:eastAsia="zh-CN"/>
        </w:rPr>
        <w:t>征地项目涉及的被征地农民实施社会养老保障。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该用地项目征收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FF0000"/>
          <w:sz w:val="32"/>
          <w:szCs w:val="32"/>
          <w:u w:val="none"/>
          <w:lang w:eastAsia="zh-CN"/>
        </w:rPr>
        <w:t>花山镇铁山村</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的</w:t>
      </w:r>
      <w:r>
        <w:rPr>
          <w:rFonts w:hint="eastAsia" w:ascii="仿宋_GB2312" w:hAnsi="仿宋_GB2312" w:cs="仿宋_GB2312"/>
          <w:i w:val="0"/>
          <w:caps w:val="0"/>
          <w:color w:val="auto"/>
          <w:spacing w:val="0"/>
          <w:kern w:val="0"/>
          <w:sz w:val="32"/>
          <w:szCs w:val="32"/>
          <w:shd w:val="clear" w:color="auto" w:fill="FFFFFF"/>
          <w:lang w:val="en-US" w:eastAsia="zh-CN" w:bidi="ar"/>
        </w:rPr>
        <w:t>土地面积</w:t>
      </w:r>
      <w:r>
        <w:rPr>
          <w:rFonts w:hint="eastAsia" w:ascii="仿宋_GB2312" w:hAnsi="仿宋_GB2312" w:cs="仿宋_GB2312"/>
          <w:i w:val="0"/>
          <w:caps w:val="0"/>
          <w:color w:val="FF0000"/>
          <w:spacing w:val="0"/>
          <w:kern w:val="0"/>
          <w:sz w:val="32"/>
          <w:szCs w:val="32"/>
          <w:shd w:val="clear" w:color="auto" w:fill="FFFFFF"/>
          <w:lang w:val="en-US" w:eastAsia="zh-CN" w:bidi="ar"/>
        </w:rPr>
        <w:t>13.4280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w:t>
      </w:r>
      <w:r>
        <w:rPr>
          <w:rFonts w:hint="eastAsia" w:ascii="仿宋_GB2312" w:hAnsi="仿宋_GB2312" w:cs="仿宋_GB2312"/>
          <w:color w:val="FF0000"/>
        </w:rPr>
        <w:t>征地双方</w:t>
      </w:r>
      <w:r>
        <w:rPr>
          <w:rFonts w:hint="eastAsia" w:ascii="仿宋_GB2312" w:hAnsi="仿宋_GB2312" w:cs="仿宋_GB2312"/>
          <w:color w:val="FF0000"/>
          <w:lang w:eastAsia="zh-CN"/>
        </w:rPr>
        <w:t>目前未签订征地</w:t>
      </w:r>
      <w:r>
        <w:rPr>
          <w:rFonts w:hint="eastAsia" w:ascii="仿宋_GB2312" w:hAnsi="仿宋_GB2312" w:cs="仿宋_GB2312"/>
          <w:color w:val="FF0000"/>
          <w:kern w:val="2"/>
          <w:highlight w:val="none"/>
          <w:shd w:val="clear" w:color="auto" w:fill="auto"/>
          <w:lang w:bidi="ar-SA"/>
        </w:rPr>
        <w:t>补偿安置协议</w:t>
      </w:r>
      <w:r>
        <w:rPr>
          <w:rFonts w:hint="eastAsia" w:ascii="仿宋_GB2312" w:hAnsi="仿宋_GB2312" w:cs="仿宋_GB2312"/>
          <w:color w:val="auto"/>
          <w:kern w:val="2"/>
          <w:shd w:val="clear" w:color="auto" w:fill="auto"/>
          <w:lang w:eastAsia="zh-CN" w:bidi="ar-SA"/>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2.1328</w:t>
      </w:r>
      <w:r>
        <w:rPr>
          <w:rFonts w:hint="eastAsia" w:ascii="仿宋_GB2312" w:hAnsi="仿宋_GB2312" w:cs="仿宋_GB2312"/>
          <w:color w:val="auto"/>
          <w:kern w:val="2"/>
          <w:shd w:val="clear" w:color="auto" w:fill="auto"/>
          <w:lang w:bidi="ar-SA"/>
        </w:rPr>
        <w:t>万/亩的标准计提（即征地补偿安置方案制定时，我区每亩平均征收农用地综合区片地价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万元/亩乘以对应广州市第三级第五档计提比例</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kern w:val="2"/>
          <w:shd w:val="clear" w:color="auto" w:fill="auto"/>
          <w:lang w:val="en-US" w:eastAsia="zh-CN" w:bidi="ar-SA"/>
        </w:rPr>
        <w:t>0</w:t>
      </w:r>
      <w:r>
        <w:rPr>
          <w:rFonts w:hint="eastAsia" w:ascii="仿宋_GB2312" w:hAnsi="仿宋_GB2312" w:cs="仿宋_GB2312"/>
          <w:color w:val="auto"/>
          <w:kern w:val="2"/>
          <w:shd w:val="clear" w:color="auto" w:fill="auto"/>
          <w:lang w:bidi="ar-SA"/>
        </w:rPr>
        <w:t>亩属于农村集体经济组织留用地，按规定不计提征地社保费，需计提资金共</w:t>
      </w:r>
      <w:r>
        <w:rPr>
          <w:rFonts w:hint="eastAsia" w:ascii="仿宋_GB2312" w:hAnsi="仿宋_GB2312" w:cs="仿宋_GB2312"/>
          <w:color w:val="FF0000"/>
          <w:kern w:val="2"/>
          <w:shd w:val="clear" w:color="auto" w:fill="auto"/>
          <w:lang w:val="en-US" w:eastAsia="zh-CN" w:bidi="ar-SA"/>
        </w:rPr>
        <w:t>28.65</w:t>
      </w:r>
      <w:r>
        <w:rPr>
          <w:rFonts w:hint="eastAsia" w:ascii="仿宋_GB2312" w:hAnsi="仿宋_GB2312" w:cs="仿宋_GB2312"/>
          <w:color w:val="FF0000"/>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由征地主体（用地单位）一次性预存入我区人力资源社会保障部门开设的“收缴被征地农民养老保障资金过渡户”，计入征地成本，纳入工程项目概算。</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送人社部门办理社保手续。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lang w:val="en-US" w:eastAsia="zh-CN"/>
        </w:rPr>
        <w:t>1.</w:t>
      </w:r>
      <w:r>
        <w:rPr>
          <w:rFonts w:hint="eastAsia" w:ascii="仿宋_GB2312" w:hAnsi="仿宋_GB2312" w:cs="仿宋_GB2312"/>
          <w:color w:val="auto"/>
          <w:sz w:val="32"/>
          <w:szCs w:val="32"/>
        </w:rPr>
        <w:t xml:space="preserve">征地土地和养老保障情况一览表 </w:t>
      </w:r>
      <w:r>
        <w:rPr>
          <w:rFonts w:hint="eastAsia" w:ascii="仿宋_GB2312" w:hAnsi="仿宋_GB2312" w:eastAsia="仿宋_GB2312" w:cs="仿宋_GB2312"/>
          <w:color w:val="auto"/>
          <w:sz w:val="32"/>
          <w:szCs w:val="32"/>
        </w:rPr>
        <w:t xml:space="preserve"> </w:t>
      </w:r>
    </w:p>
    <w:p>
      <w:pPr>
        <w:pStyle w:val="2"/>
        <w:ind w:firstLine="1600" w:firstLineChars="500"/>
        <w:rPr>
          <w:rFonts w:hint="eastAsia" w:eastAsia="仿宋_GB2312"/>
          <w:color w:val="auto"/>
          <w:sz w:val="32"/>
          <w:szCs w:val="32"/>
          <w:lang w:val="en-US" w:eastAsia="zh-CN"/>
        </w:rPr>
      </w:pPr>
      <w:r>
        <w:rPr>
          <w:rFonts w:ascii="仿宋_GB2312" w:hAnsi="仿宋_GB2312" w:cs="仿宋_GB2312"/>
          <w:color w:val="auto"/>
          <w:sz w:val="32"/>
          <w:szCs w:val="32"/>
        </w:rPr>
        <w:t>2</w:t>
      </w:r>
      <w:r>
        <w:rPr>
          <w:rFonts w:hint="eastAsia" w:ascii="仿宋_GB2312" w:hAnsi="仿宋_GB2312" w:cs="仿宋_GB2312"/>
          <w:color w:val="auto"/>
          <w:sz w:val="32"/>
          <w:szCs w:val="32"/>
          <w:lang w:val="en-US" w:eastAsia="zh-CN"/>
        </w:rPr>
        <w:t>.</w:t>
      </w:r>
      <w:r>
        <w:rPr>
          <w:rFonts w:ascii="仿宋_GB2312" w:hAnsi="仿宋_GB2312" w:cs="仿宋_GB2312"/>
          <w:color w:val="auto"/>
          <w:sz w:val="32"/>
          <w:szCs w:val="32"/>
        </w:rPr>
        <w:t>村情况证明</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cs="仿宋_GB2312"/>
          <w:color w:val="FF0000"/>
          <w:sz w:val="32"/>
          <w:szCs w:val="32"/>
          <w:lang w:val="en-US" w:eastAsia="zh-CN"/>
        </w:rPr>
        <w:t>2022</w:t>
      </w:r>
      <w:r>
        <w:rPr>
          <w:rFonts w:hint="eastAsia" w:ascii="仿宋_GB2312" w:hAnsi="仿宋_GB2312" w:eastAsia="仿宋_GB2312" w:cs="仿宋_GB2312"/>
          <w:color w:val="FF0000"/>
          <w:sz w:val="32"/>
          <w:szCs w:val="32"/>
          <w:lang w:val="en-US" w:eastAsia="zh-CN"/>
        </w:rPr>
        <w:t>年</w:t>
      </w:r>
      <w:r>
        <w:rPr>
          <w:rFonts w:hint="eastAsia" w:ascii="仿宋_GB2312" w:hAnsi="仿宋_GB2312" w:cs="仿宋_GB2312"/>
          <w:color w:val="FF0000"/>
          <w:sz w:val="32"/>
          <w:szCs w:val="32"/>
          <w:lang w:val="en-US" w:eastAsia="zh-CN"/>
        </w:rPr>
        <w:t>10</w:t>
      </w:r>
      <w:r>
        <w:rPr>
          <w:rFonts w:hint="eastAsia" w:ascii="仿宋_GB2312" w:hAnsi="仿宋_GB2312" w:eastAsia="仿宋_GB2312" w:cs="仿宋_GB2312"/>
          <w:color w:val="FF0000"/>
          <w:sz w:val="32"/>
          <w:szCs w:val="32"/>
          <w:lang w:val="en-US" w:eastAsia="zh-CN"/>
        </w:rPr>
        <w:t>月</w:t>
      </w:r>
      <w:r>
        <w:rPr>
          <w:rFonts w:hint="eastAsia" w:ascii="仿宋_GB2312" w:hAnsi="仿宋_GB2312" w:cs="仿宋_GB2312"/>
          <w:i w:val="0"/>
          <w:caps w:val="0"/>
          <w:color w:val="FF0000"/>
          <w:spacing w:val="0"/>
          <w:kern w:val="0"/>
          <w:sz w:val="32"/>
          <w:szCs w:val="32"/>
          <w:shd w:val="clear" w:color="auto" w:fill="FFFFFF"/>
          <w:lang w:val="en-US" w:eastAsia="zh-CN" w:bidi="ar"/>
        </w:rPr>
        <w:t>28</w:t>
      </w:r>
      <w:r>
        <w:rPr>
          <w:rFonts w:hint="eastAsia" w:ascii="仿宋_GB2312" w:hAnsi="仿宋_GB2312" w:eastAsia="仿宋_GB2312" w:cs="仿宋_GB2312"/>
          <w:i w:val="0"/>
          <w:caps w:val="0"/>
          <w:color w:val="FF0000"/>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附</w:t>
      </w:r>
      <w:r>
        <w:rPr>
          <w:rFonts w:hint="eastAsia" w:ascii="黑体" w:hAnsi="黑体" w:eastAsia="黑体" w:cs="黑体"/>
          <w:b w:val="0"/>
          <w:bCs w:val="0"/>
          <w:sz w:val="32"/>
          <w:szCs w:val="32"/>
          <w:lang w:eastAsia="zh-CN"/>
        </w:rPr>
        <w:t>件</w:t>
      </w:r>
      <w:r>
        <w:rPr>
          <w:rFonts w:hint="eastAsia" w:ascii="黑体" w:hAnsi="黑体" w:eastAsia="黑体" w:cs="黑体"/>
          <w:b w:val="0"/>
          <w:bCs w:val="0"/>
          <w:sz w:val="32"/>
          <w:szCs w:val="32"/>
          <w:lang w:val="en-US" w:eastAsia="zh-CN"/>
        </w:rPr>
        <w:t>1</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ascii="仿宋_GB2312"/>
          <w:sz w:val="28"/>
          <w:szCs w:val="28"/>
        </w:rPr>
      </w:pPr>
      <w:r>
        <w:rPr>
          <w:rFonts w:hint="eastAsia" w:ascii="仿宋_GB2312"/>
          <w:sz w:val="28"/>
          <w:szCs w:val="28"/>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花山镇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铁山村经济联合社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10.8195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23.08</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花山镇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铁山村第四经济合作社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2.4030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5.13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花山镇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cs="仿宋_GB2312"/>
                <w:kern w:val="0"/>
                <w:sz w:val="24"/>
                <w:szCs w:val="24"/>
                <w:lang w:eastAsia="zh-CN"/>
              </w:rPr>
            </w:pPr>
            <w:r>
              <w:rPr>
                <w:rFonts w:hint="eastAsia" w:ascii="仿宋_GB2312" w:hAnsi="仿宋_GB2312" w:cs="仿宋_GB2312"/>
                <w:kern w:val="0"/>
                <w:sz w:val="24"/>
                <w:szCs w:val="24"/>
                <w:lang w:eastAsia="zh-CN"/>
              </w:rPr>
              <w:t>铁山村第二十经济合作社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0.2055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0.44</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cs="仿宋_GB2312"/>
                <w:kern w:val="0"/>
                <w:sz w:val="24"/>
                <w:szCs w:val="24"/>
              </w:rPr>
            </w:pPr>
            <w:r>
              <w:rPr>
                <w:rFonts w:hint="eastAsia" w:ascii="仿宋_GB2312" w:hAnsi="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bidi="ar-SA"/>
              </w:rPr>
              <w:t>13.4280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jc w:val="center"/>
              <w:rPr>
                <w:rFonts w:hint="eastAsia" w:ascii="仿宋_GB2312" w:hAnsi="仿宋_GB2312" w:eastAsia="仿宋_GB2312" w:cs="仿宋_GB2312"/>
                <w:kern w:val="0"/>
                <w:sz w:val="24"/>
                <w:szCs w:val="24"/>
                <w:lang w:val="en-US" w:eastAsia="zh-CN" w:bidi="ar-SA"/>
              </w:rPr>
            </w:pPr>
            <w:r>
              <w:rPr>
                <w:rFonts w:hint="eastAsia" w:ascii="仿宋_GB2312" w:hAnsi="仿宋_GB2312" w:cs="仿宋_GB2312"/>
                <w:kern w:val="0"/>
                <w:sz w:val="24"/>
                <w:szCs w:val="24"/>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仿宋_GB2312" w:hAnsi="仿宋_GB2312" w:cs="仿宋_GB2312"/>
                <w:kern w:val="0"/>
                <w:sz w:val="24"/>
                <w:szCs w:val="24"/>
                <w:lang w:val="en-US" w:eastAsia="zh-CN"/>
              </w:rPr>
            </w:pPr>
            <w:r>
              <w:rPr>
                <w:rFonts w:hint="eastAsia" w:ascii="仿宋_GB2312" w:hAnsi="仿宋_GB2312" w:cs="仿宋_GB2312"/>
                <w:kern w:val="0"/>
                <w:sz w:val="24"/>
                <w:szCs w:val="24"/>
                <w:lang w:val="en-US" w:eastAsia="zh-CN"/>
              </w:rPr>
              <w:t>28.65</w:t>
            </w:r>
          </w:p>
        </w:tc>
      </w:tr>
    </w:tbl>
    <w:p>
      <w:pPr>
        <w:spacing w:line="320" w:lineRule="exact"/>
        <w:ind w:right="210"/>
        <w:jc w:val="left"/>
        <w:rPr>
          <w:sz w:val="24"/>
          <w:szCs w:val="28"/>
        </w:rPr>
      </w:pPr>
      <w:r>
        <w:rPr>
          <w:rFonts w:hint="eastAsia"/>
          <w:sz w:val="24"/>
          <w:szCs w:val="28"/>
        </w:rPr>
        <w:t>说明：</w:t>
      </w:r>
    </w:p>
    <w:p>
      <w:pPr>
        <w:spacing w:line="320" w:lineRule="exact"/>
        <w:ind w:right="210"/>
        <w:jc w:val="left"/>
        <w:rPr>
          <w:rFonts w:hint="eastAsia"/>
          <w:sz w:val="24"/>
          <w:szCs w:val="28"/>
        </w:rPr>
      </w:pPr>
      <w:r>
        <w:rPr>
          <w:rFonts w:hint="eastAsia"/>
          <w:sz w:val="24"/>
          <w:szCs w:val="28"/>
        </w:rPr>
        <w:t>1、</w:t>
      </w:r>
      <w:r>
        <w:rPr>
          <w:sz w:val="24"/>
          <w:szCs w:val="28"/>
        </w:rPr>
        <w:t>征地社保费计提标准</w:t>
      </w:r>
      <w:r>
        <w:rPr>
          <w:rFonts w:hint="eastAsia"/>
          <w:sz w:val="24"/>
          <w:szCs w:val="28"/>
          <w:lang w:val="en-US" w:eastAsia="zh-CN"/>
        </w:rPr>
        <w:t>2.1328</w:t>
      </w:r>
      <w:r>
        <w:rPr>
          <w:sz w:val="24"/>
          <w:szCs w:val="28"/>
        </w:rPr>
        <w:t>万元</w:t>
      </w:r>
      <w:r>
        <w:rPr>
          <w:rFonts w:hint="eastAsia"/>
          <w:sz w:val="24"/>
          <w:szCs w:val="28"/>
        </w:rPr>
        <w:t>/亩，征地社保费计算结果向上取整，精确到百元。</w:t>
      </w:r>
    </w:p>
    <w:p>
      <w:pPr>
        <w:spacing w:line="320" w:lineRule="exact"/>
        <w:ind w:right="210"/>
        <w:jc w:val="left"/>
        <w:rPr>
          <w:sz w:val="24"/>
          <w:szCs w:val="28"/>
        </w:rPr>
      </w:pPr>
      <w:r>
        <w:rPr>
          <w:sz w:val="24"/>
          <w:szCs w:val="28"/>
        </w:rPr>
        <w:t>2、被征收土地属于农村集体经济组织留用地的，不计提征地社保费。</w:t>
      </w:r>
    </w:p>
    <w:p/>
    <w:p>
      <w:pPr>
        <w:pStyle w:val="2"/>
      </w:pPr>
    </w:p>
    <w:p>
      <w:pPr>
        <w:pStyle w:val="3"/>
      </w:pPr>
    </w:p>
    <w:p/>
    <w:p>
      <w:pPr>
        <w:pStyle w:val="2"/>
      </w:pPr>
    </w:p>
    <w:p>
      <w:pPr>
        <w:pStyle w:val="3"/>
      </w:pPr>
    </w:p>
    <w:p/>
    <w:p>
      <w:pPr>
        <w:pStyle w:val="2"/>
      </w:pPr>
    </w:p>
    <w:p>
      <w:pPr>
        <w:pStyle w:val="3"/>
        <w:ind w:left="0" w:leftChars="0" w:firstLine="0" w:firstLineChars="0"/>
        <w:jc w:val="both"/>
        <w:rPr>
          <w:rFonts w:hint="eastAsia" w:eastAsia="宋体"/>
          <w:lang w:eastAsia="zh-CN"/>
        </w:rPr>
      </w:pPr>
      <w:r>
        <w:rPr>
          <w:rFonts w:hint="eastAsia" w:eastAsia="宋体"/>
          <w:lang w:eastAsia="zh-CN"/>
        </w:rPr>
        <w:drawing>
          <wp:inline distT="0" distB="0" distL="114300" distR="114300">
            <wp:extent cx="5419725" cy="7311390"/>
            <wp:effectExtent l="0" t="0" r="9525" b="3810"/>
            <wp:docPr id="2" name="图片 2" descr="{43DF8DE1-6669-47DD-AB46-502AF538B4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3DF8DE1-6669-47DD-AB46-502AF538B4C9}"/>
                    <pic:cNvPicPr>
                      <a:picLocks noChangeAspect="1"/>
                    </pic:cNvPicPr>
                  </pic:nvPicPr>
                  <pic:blipFill>
                    <a:blip r:embed="rId5"/>
                    <a:stretch>
                      <a:fillRect/>
                    </a:stretch>
                  </pic:blipFill>
                  <pic:spPr>
                    <a:xfrm>
                      <a:off x="0" y="0"/>
                      <a:ext cx="5419725" cy="7311390"/>
                    </a:xfrm>
                    <a:prstGeom prst="rect">
                      <a:avLst/>
                    </a:prstGeom>
                  </pic:spPr>
                </pic:pic>
              </a:graphicData>
            </a:graphic>
          </wp:inline>
        </w:drawing>
      </w:r>
    </w:p>
    <w:p>
      <w:pPr>
        <w:rPr>
          <w:rFonts w:hint="eastAsia" w:eastAsia="宋体"/>
          <w:lang w:eastAsia="zh-CN"/>
        </w:rPr>
      </w:pPr>
    </w:p>
    <w:p>
      <w:pPr>
        <w:pStyle w:val="2"/>
        <w:rPr>
          <w:rFonts w:hint="eastAsia" w:eastAsia="宋体"/>
          <w:lang w:eastAsia="zh-CN"/>
        </w:rPr>
      </w:pPr>
    </w:p>
    <w:p>
      <w:pPr>
        <w:pStyle w:val="3"/>
        <w:rPr>
          <w:rFonts w:hint="eastAsia"/>
          <w:lang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附</w:t>
      </w:r>
      <w:r>
        <w:rPr>
          <w:rFonts w:hint="eastAsia" w:ascii="黑体" w:hAnsi="黑体" w:eastAsia="黑体" w:cs="黑体"/>
          <w:b w:val="0"/>
          <w:bCs w:val="0"/>
          <w:sz w:val="32"/>
          <w:szCs w:val="32"/>
          <w:lang w:eastAsia="zh-CN"/>
        </w:rPr>
        <w:t>件</w:t>
      </w:r>
      <w:r>
        <w:rPr>
          <w:rFonts w:hint="eastAsia" w:ascii="黑体" w:hAnsi="黑体" w:eastAsia="黑体" w:cs="黑体"/>
          <w:b w:val="0"/>
          <w:bCs w:val="0"/>
          <w:sz w:val="32"/>
          <w:szCs w:val="32"/>
          <w:lang w:val="en-US" w:eastAsia="zh-CN"/>
        </w:rPr>
        <w:t>2</w:t>
      </w:r>
    </w:p>
    <w:p>
      <w:pPr>
        <w:pStyle w:val="2"/>
        <w:ind w:left="0" w:leftChars="0" w:firstLine="0" w:firstLineChars="0"/>
        <w:jc w:val="left"/>
        <w:rPr>
          <w:rFonts w:hint="eastAsia"/>
          <w:lang w:val="en-US" w:eastAsia="zh-CN"/>
        </w:rPr>
      </w:pPr>
      <w:bookmarkStart w:id="0" w:name="_GoBack"/>
      <w:bookmarkEnd w:id="0"/>
      <w:r>
        <w:rPr>
          <w:rFonts w:hint="eastAsia"/>
          <w:lang w:val="en-US" w:eastAsia="zh-CN"/>
        </w:rPr>
        <w:drawing>
          <wp:inline distT="0" distB="0" distL="114300" distR="114300">
            <wp:extent cx="5400040" cy="6583680"/>
            <wp:effectExtent l="0" t="0" r="10160" b="7620"/>
            <wp:docPr id="3" name="图片 3" descr="{C0454C61-715A-4834-896F-061314AB73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0454C61-715A-4834-896F-061314AB73B1}"/>
                    <pic:cNvPicPr>
                      <a:picLocks noChangeAspect="1"/>
                    </pic:cNvPicPr>
                  </pic:nvPicPr>
                  <pic:blipFill>
                    <a:blip r:embed="rId6"/>
                    <a:stretch>
                      <a:fillRect/>
                    </a:stretch>
                  </pic:blipFill>
                  <pic:spPr>
                    <a:xfrm>
                      <a:off x="0" y="0"/>
                      <a:ext cx="5400040" cy="6583680"/>
                    </a:xfrm>
                    <a:prstGeom prst="rect">
                      <a:avLst/>
                    </a:prstGeom>
                  </pic:spPr>
                </pic:pic>
              </a:graphicData>
            </a:graphic>
          </wp:inline>
        </w:drawing>
      </w:r>
    </w:p>
    <w:p>
      <w:pPr>
        <w:pStyle w:val="2"/>
        <w:rPr>
          <w:rFonts w:hint="eastAsia"/>
        </w:rPr>
      </w:pPr>
    </w:p>
    <w:p>
      <w:pPr>
        <w:pStyle w:val="3"/>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仿宋_GB2312"/>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EC2A03"/>
    <w:rsid w:val="0B3A6F7C"/>
    <w:rsid w:val="0C1E49CC"/>
    <w:rsid w:val="0CE91961"/>
    <w:rsid w:val="12341E88"/>
    <w:rsid w:val="13714D70"/>
    <w:rsid w:val="15CE692B"/>
    <w:rsid w:val="19E21F71"/>
    <w:rsid w:val="20B67655"/>
    <w:rsid w:val="211F0DDA"/>
    <w:rsid w:val="23141564"/>
    <w:rsid w:val="28702BCD"/>
    <w:rsid w:val="2B972895"/>
    <w:rsid w:val="2DAF2E8F"/>
    <w:rsid w:val="30DD40EA"/>
    <w:rsid w:val="35F746F3"/>
    <w:rsid w:val="36EF346B"/>
    <w:rsid w:val="383071EA"/>
    <w:rsid w:val="39751ECE"/>
    <w:rsid w:val="3A9535F9"/>
    <w:rsid w:val="3CFF5EF7"/>
    <w:rsid w:val="3E3629B5"/>
    <w:rsid w:val="3EA022D5"/>
    <w:rsid w:val="3F6655A0"/>
    <w:rsid w:val="40736F4A"/>
    <w:rsid w:val="42A07318"/>
    <w:rsid w:val="450C1F37"/>
    <w:rsid w:val="4C363821"/>
    <w:rsid w:val="517C0DBC"/>
    <w:rsid w:val="56293227"/>
    <w:rsid w:val="57B071EF"/>
    <w:rsid w:val="5D7072F6"/>
    <w:rsid w:val="614340C8"/>
    <w:rsid w:val="64374311"/>
    <w:rsid w:val="65A9621A"/>
    <w:rsid w:val="66177D25"/>
    <w:rsid w:val="72270D40"/>
    <w:rsid w:val="7451241A"/>
    <w:rsid w:val="748706FC"/>
    <w:rsid w:val="79A963F5"/>
    <w:rsid w:val="7A301722"/>
    <w:rsid w:val="7A4A27FD"/>
    <w:rsid w:val="7C1546B9"/>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江玉姬</cp:lastModifiedBy>
  <cp:lastPrinted>2022-01-04T07:55:00Z</cp:lastPrinted>
  <dcterms:modified xsi:type="dcterms:W3CDTF">2023-01-11T01:26:51Z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0C0DE489E8B24C16B5CA190443C1F12E</vt:lpwstr>
  </property>
</Properties>
</file>