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widowControl/>
        <w:shd w:val="clear" w:color="auto" w:fill="FFFFFF"/>
        <w:spacing w:line="580" w:lineRule="exact"/>
        <w:ind w:firstLine="615"/>
        <w:jc w:val="left"/>
        <w:rPr>
          <w:rFonts w:hint="eastAsia"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rPr>
        <w:t>关</w:t>
      </w:r>
      <w:r>
        <w:rPr>
          <w:rFonts w:hint="default" w:ascii="Times New Roman" w:hAnsi="Times New Roman" w:eastAsia="方正小标宋简体" w:cs="Times New Roman"/>
          <w:sz w:val="44"/>
          <w:szCs w:val="44"/>
          <w:highlight w:val="none"/>
        </w:rPr>
        <w:t>于</w:t>
      </w:r>
      <w:r>
        <w:rPr>
          <w:rFonts w:hint="eastAsia" w:eastAsia="方正小标宋简体" w:cs="Times New Roman"/>
          <w:sz w:val="44"/>
          <w:szCs w:val="44"/>
          <w:highlight w:val="none"/>
          <w:lang w:val="en-US" w:eastAsia="zh-CN"/>
        </w:rPr>
        <w:t>广州市花都区2022年度第四十九批次城镇建设用地</w:t>
      </w:r>
      <w:r>
        <w:rPr>
          <w:rFonts w:hint="eastAsia" w:ascii="Times New Roman" w:hAnsi="Times New Roman" w:eastAsia="方正小标宋简体" w:cs="Times New Roman"/>
          <w:sz w:val="44"/>
          <w:szCs w:val="44"/>
          <w:highlight w:val="none"/>
          <w:lang w:val="en-US" w:eastAsia="zh-CN"/>
        </w:rPr>
        <w:t>（</w:t>
      </w:r>
      <w:r>
        <w:rPr>
          <w:rFonts w:hint="eastAsia" w:ascii="方正小标宋简体" w:hAnsi="宋体" w:eastAsia="方正小标宋简体"/>
          <w:sz w:val="44"/>
          <w:szCs w:val="44"/>
        </w:rPr>
        <w:t>芙蓉大道东二地块</w:t>
      </w:r>
      <w:r>
        <w:rPr>
          <w:rFonts w:hint="default" w:ascii="Times New Roman" w:hAnsi="Times New Roman" w:eastAsia="方正小标宋简体" w:cs="Times New Roman"/>
          <w:sz w:val="44"/>
          <w:szCs w:val="44"/>
          <w:highlight w:val="none"/>
          <w:lang w:val="en-US" w:eastAsia="zh-CN"/>
        </w:rPr>
        <w:t>〔</w:t>
      </w:r>
      <w:r>
        <w:rPr>
          <w:rFonts w:hint="eastAsia" w:eastAsia="方正小标宋简体" w:cs="Times New Roman"/>
          <w:sz w:val="44"/>
          <w:szCs w:val="44"/>
          <w:highlight w:val="none"/>
          <w:lang w:val="en-US" w:eastAsia="zh-CN"/>
        </w:rPr>
        <w:t>二</w:t>
      </w:r>
      <w:r>
        <w:rPr>
          <w:rFonts w:hint="eastAsia" w:ascii="Times New Roman" w:hAnsi="Times New Roman" w:eastAsia="方正小标宋简体" w:cs="Times New Roman"/>
          <w:sz w:val="44"/>
          <w:szCs w:val="44"/>
          <w:highlight w:val="none"/>
          <w:lang w:val="en-US" w:eastAsia="zh-CN"/>
        </w:rPr>
        <w:t>期</w:t>
      </w:r>
      <w:r>
        <w:rPr>
          <w:rFonts w:hint="default" w:ascii="Times New Roman" w:hAnsi="Times New Roman" w:eastAsia="方正小标宋简体" w:cs="Times New Roman"/>
          <w:sz w:val="44"/>
          <w:szCs w:val="44"/>
          <w:highlight w:val="none"/>
          <w:lang w:val="en-US" w:eastAsia="zh-CN"/>
        </w:rPr>
        <w:t>〕</w:t>
      </w:r>
      <w:r>
        <w:rPr>
          <w:rFonts w:hint="eastAsia" w:ascii="Times New Roman" w:hAnsi="Times New Roman" w:eastAsia="方正小标宋简体" w:cs="Times New Roman"/>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spacing w:beforeLines="0" w:afterLines="0" w:line="400" w:lineRule="atLeast"/>
        <w:ind w:left="230"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为实施广州市花都区花城街建设规划，完善城市功能，改善城市环境，促进经济、文化发展。我区拟征收广州市花都区</w:t>
      </w:r>
      <w:r>
        <w:rPr>
          <w:rFonts w:hint="eastAsia" w:ascii="Times New Roman" w:hAnsi="Times New Roman" w:eastAsia="仿宋_GB2312" w:cs="Times New Roman"/>
          <w:sz w:val="32"/>
          <w:lang w:val="zh-CN"/>
        </w:rPr>
        <w:t>花城街</w:t>
      </w:r>
      <w:r>
        <w:rPr>
          <w:rFonts w:hint="eastAsia" w:ascii="Times New Roman" w:hAnsi="Times New Roman" w:eastAsia="仿宋_GB2312" w:cs="Times New Roman"/>
          <w:sz w:val="32"/>
        </w:rPr>
        <w:t>东边村经济联合社</w:t>
      </w:r>
      <w:r>
        <w:rPr>
          <w:rFonts w:hint="default" w:ascii="Times New Roman" w:hAnsi="Times New Roman" w:eastAsia="仿宋_GB2312" w:cs="Times New Roman"/>
          <w:sz w:val="32"/>
        </w:rPr>
        <w:t>属</w:t>
      </w:r>
      <w:r>
        <w:rPr>
          <w:rFonts w:hint="default" w:ascii="Times New Roman" w:hAnsi="Times New Roman" w:eastAsia="仿宋_GB2312" w:cs="Times New Roman"/>
          <w:sz w:val="32"/>
          <w:highlight w:val="none"/>
        </w:rPr>
        <w:t>下的集体土地</w:t>
      </w:r>
      <w:r>
        <w:rPr>
          <w:rFonts w:hint="eastAsia" w:eastAsia="仿宋_GB2312" w:cs="Times New Roman"/>
          <w:sz w:val="32"/>
          <w:szCs w:val="32"/>
          <w:highlight w:val="none"/>
          <w:lang w:val="en-US" w:eastAsia="zh-CN"/>
        </w:rPr>
        <w:t>0.2430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w:t>
      </w:r>
      <w:bookmarkStart w:id="0" w:name="_GoBack"/>
      <w:bookmarkEnd w:id="0"/>
      <w:r>
        <w:rPr>
          <w:rFonts w:hint="eastAsia" w:eastAsia="仿宋_GB2312" w:cs="Times New Roman"/>
          <w:sz w:val="32"/>
          <w:highlight w:val="none"/>
          <w:lang w:val="en-US" w:eastAsia="zh-CN"/>
        </w:rPr>
        <w:t>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征收花城街</w:t>
      </w:r>
      <w:r>
        <w:rPr>
          <w:rFonts w:hint="eastAsia" w:ascii="Times New Roman" w:hAnsi="Times New Roman" w:eastAsia="仿宋_GB2312" w:cs="Times New Roman"/>
          <w:sz w:val="32"/>
        </w:rPr>
        <w:t>东边村</w:t>
      </w:r>
      <w:r>
        <w:rPr>
          <w:rFonts w:hint="default" w:ascii="Times New Roman" w:hAnsi="Times New Roman" w:eastAsia="仿宋_GB2312" w:cs="Times New Roman"/>
          <w:sz w:val="32"/>
          <w:highlight w:val="none"/>
        </w:rPr>
        <w:t>集体土地</w:t>
      </w:r>
      <w:r>
        <w:rPr>
          <w:rFonts w:hint="eastAsia" w:eastAsia="仿宋_GB2312" w:cs="Times New Roman"/>
          <w:sz w:val="32"/>
          <w:highlight w:val="none"/>
          <w:lang w:eastAsia="zh-CN"/>
        </w:rPr>
        <w:t>总面积</w:t>
      </w:r>
      <w:r>
        <w:rPr>
          <w:rFonts w:hint="eastAsia" w:eastAsia="仿宋_GB2312" w:cs="Times New Roman"/>
          <w:sz w:val="32"/>
          <w:szCs w:val="32"/>
          <w:highlight w:val="none"/>
          <w:lang w:val="en-US" w:eastAsia="zh-CN"/>
        </w:rPr>
        <w:t>0.2430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其中农用地</w:t>
      </w:r>
      <w:r>
        <w:rPr>
          <w:rFonts w:hint="eastAsia" w:ascii="Times New Roman" w:hAnsi="Times New Roman" w:eastAsia="仿宋_GB2312" w:cs="Times New Roman"/>
          <w:sz w:val="32"/>
          <w:lang w:val="en-US" w:eastAsia="zh-CN"/>
        </w:rPr>
        <w:t>0.17</w:t>
      </w:r>
      <w:r>
        <w:rPr>
          <w:rFonts w:hint="eastAsia" w:eastAsia="仿宋_GB2312" w:cs="Times New Roman"/>
          <w:sz w:val="32"/>
          <w:lang w:val="en-US" w:eastAsia="zh-CN"/>
        </w:rPr>
        <w:t>08</w:t>
      </w:r>
      <w:r>
        <w:rPr>
          <w:rFonts w:hint="eastAsia" w:ascii="Times New Roman" w:hAnsi="Times New Roman" w:eastAsia="仿宋_GB2312" w:cs="Times New Roman"/>
          <w:sz w:val="32"/>
          <w:lang w:val="en-US" w:eastAsia="zh-CN"/>
        </w:rPr>
        <w:t>公顷（园地0.0045公顷、林地0.0098公顷、草地0.0006公顷、其他农用地0.15</w:t>
      </w:r>
      <w:r>
        <w:rPr>
          <w:rFonts w:hint="eastAsia" w:eastAsia="仿宋_GB2312" w:cs="Times New Roman"/>
          <w:sz w:val="32"/>
          <w:lang w:val="en-US" w:eastAsia="zh-CN"/>
        </w:rPr>
        <w:t>59</w:t>
      </w:r>
      <w:r>
        <w:rPr>
          <w:rFonts w:hint="eastAsia" w:ascii="Times New Roman" w:hAnsi="Times New Roman" w:eastAsia="仿宋_GB2312" w:cs="Times New Roman"/>
          <w:sz w:val="32"/>
          <w:lang w:val="en-US" w:eastAsia="zh-CN"/>
        </w:rPr>
        <w:t>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0.0722公顷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8"/>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ascii="Times New Roman" w:hAnsi="Times New Roman" w:eastAsia="仿宋_GB2312" w:cs="Times New Roman"/>
                <w:sz w:val="24"/>
                <w:lang w:val="en-US" w:eastAsia="zh-CN"/>
              </w:rPr>
              <w:t>花城街</w:t>
            </w:r>
            <w:r>
              <w:rPr>
                <w:rFonts w:hint="default" w:ascii="Times New Roman" w:hAnsi="Times New Roman" w:eastAsia="仿宋_GB2312" w:cs="Times New Roman"/>
                <w:sz w:val="24"/>
              </w:rPr>
              <w:t>东边村经济联合社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lang w:val="en-US" w:eastAsia="zh-CN"/>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8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szCs w:val="21"/>
                <w:lang w:val="en-US" w:eastAsia="zh-CN"/>
              </w:rPr>
            </w:pPr>
          </w:p>
        </w:tc>
        <w:tc>
          <w:tcPr>
            <w:tcW w:w="99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szCs w:val="21"/>
              </w:rPr>
            </w:pPr>
          </w:p>
        </w:tc>
        <w:tc>
          <w:tcPr>
            <w:tcW w:w="110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lang w:val="en-US" w:eastAsia="zh-CN"/>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rPr>
            </w:pPr>
          </w:p>
          <w:p>
            <w:pPr>
              <w:jc w:val="center"/>
              <w:rPr>
                <w:rFonts w:hint="default" w:ascii="Times New Roman" w:hAnsi="Times New Roman" w:cs="Times New Roman" w:eastAsiaTheme="minorEastAsia"/>
                <w:b/>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99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110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lang w:eastAsia="zh-CN"/>
              </w:rPr>
            </w:pPr>
          </w:p>
          <w:p>
            <w:pPr>
              <w:jc w:val="center"/>
              <w:rPr>
                <w:rFonts w:hint="default" w:ascii="Times New Roman" w:hAnsi="Times New Roman" w:cs="Times New Roman" w:eastAsiaTheme="minorEastAsia"/>
                <w:szCs w:val="21"/>
                <w:lang w:eastAsia="zh-CN"/>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lang w:eastAsia="zh-CN"/>
              </w:rPr>
            </w:pPr>
          </w:p>
          <w:p>
            <w:pPr>
              <w:jc w:val="center"/>
              <w:rPr>
                <w:rFonts w:hint="default" w:ascii="Times New Roman" w:hAnsi="Times New Roman" w:cs="Times New Roman" w:eastAsiaTheme="minorEastAsia"/>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8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99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110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rPr>
            </w:pPr>
          </w:p>
          <w:p>
            <w:pPr>
              <w:jc w:val="center"/>
              <w:rPr>
                <w:rFonts w:hint="default" w:ascii="Times New Roman" w:hAnsi="Times New Roman" w:cs="Times New Roman"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0.0045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.5400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0.0098</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1.1760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1.1760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2.3520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草地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0.0006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0.0720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0.0720</w:t>
            </w:r>
          </w:p>
        </w:tc>
        <w:tc>
          <w:tcPr>
            <w:tcW w:w="1409" w:type="dxa"/>
            <w:vAlign w:val="center"/>
          </w:tcPr>
          <w:p>
            <w:pPr>
              <w:jc w:val="center"/>
              <w:rPr>
                <w:rFonts w:hint="default" w:cs="Times New Roman" w:eastAsiaTheme="minorEastAsia"/>
                <w:b/>
                <w:bCs/>
                <w:szCs w:val="21"/>
                <w:lang w:val="en-US" w:eastAsia="zh-CN"/>
              </w:rPr>
            </w:pPr>
            <w:r>
              <w:rPr>
                <w:rFonts w:hint="eastAsia" w:cs="Times New Roman" w:eastAsiaTheme="minorEastAsia"/>
                <w:b/>
                <w:bCs/>
                <w:szCs w:val="21"/>
                <w:lang w:val="en-US" w:eastAsia="zh-CN"/>
              </w:rPr>
              <w:t>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.1559</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18.7080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18.7080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37.4160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0.0722</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17.3280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17.3280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lang w:eastAsia="zh-CN"/>
              </w:rPr>
            </w:pPr>
          </w:p>
          <w:p>
            <w:pPr>
              <w:jc w:val="center"/>
              <w:rPr>
                <w:rFonts w:hint="default" w:ascii="Times New Roman" w:hAnsi="Times New Roman" w:cs="Times New Roman" w:eastAsiaTheme="minorEastAsia"/>
                <w:szCs w:val="21"/>
                <w:lang w:eastAsia="zh-CN"/>
              </w:rPr>
            </w:pP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lang w:eastAsia="zh-CN"/>
              </w:rPr>
            </w:pPr>
          </w:p>
          <w:p>
            <w:pPr>
              <w:jc w:val="center"/>
              <w:rPr>
                <w:rFonts w:hint="default" w:ascii="Times New Roman" w:hAnsi="Times New Roman" w:cs="Times New Roman" w:eastAsiaTheme="minorEastAsia"/>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58.3200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eastAsia="仿宋_GB2312"/>
          <w:sz w:val="32"/>
          <w:szCs w:val="32"/>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的</w:t>
      </w:r>
      <w:r>
        <w:rPr>
          <w:rFonts w:eastAsia="仿宋_GB2312"/>
          <w:sz w:val="32"/>
          <w:szCs w:val="32"/>
        </w:rPr>
        <w:t>10%计算</w:t>
      </w:r>
      <w:r>
        <w:rPr>
          <w:rFonts w:hint="eastAsia" w:ascii="仿宋_GB2312" w:eastAsia="仿宋_GB2312"/>
          <w:sz w:val="32"/>
          <w:szCs w:val="32"/>
        </w:rPr>
        <w:t>安排给被征</w:t>
      </w:r>
      <w:r>
        <w:rPr>
          <w:rFonts w:hint="eastAsia" w:ascii="Times New Roman" w:hAnsi="Times New Roman" w:eastAsia="仿宋_GB2312" w:cs="Times New Roman"/>
          <w:sz w:val="32"/>
          <w:highlight w:val="none"/>
        </w:rPr>
        <w:t>地村集体</w:t>
      </w:r>
      <w:r>
        <w:rPr>
          <w:rFonts w:hint="eastAsia" w:ascii="Times New Roman" w:hAnsi="Times New Roman" w:eastAsia="仿宋_GB2312" w:cs="Times New Roman"/>
          <w:sz w:val="32"/>
          <w:highlight w:val="none"/>
          <w:lang w:eastAsia="zh-CN"/>
        </w:rPr>
        <w:t>，面积为</w:t>
      </w:r>
      <w:r>
        <w:rPr>
          <w:rFonts w:hint="eastAsia" w:ascii="Times New Roman" w:hAnsi="Times New Roman" w:eastAsia="仿宋_GB2312" w:cs="Times New Roman"/>
          <w:sz w:val="32"/>
          <w:highlight w:val="none"/>
          <w:lang w:val="en-US" w:eastAsia="zh-CN"/>
        </w:rPr>
        <w:t>0.0243公顷</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cs="Times New Roman"/>
          <w:sz w:val="32"/>
          <w:highlight w:val="none"/>
        </w:rPr>
        <w:t>留用地兑现方式为实</w:t>
      </w:r>
      <w:r>
        <w:rPr>
          <w:rFonts w:hint="eastAsia" w:ascii="Times New Roman" w:hAnsi="Times New Roman" w:eastAsia="仿宋_GB2312" w:cs="Times New Roman"/>
          <w:sz w:val="32"/>
          <w:highlight w:val="none"/>
          <w:lang w:eastAsia="zh-CN"/>
        </w:rPr>
        <w:t>物</w:t>
      </w:r>
      <w:r>
        <w:rPr>
          <w:rFonts w:hint="eastAsia" w:ascii="Times New Roman" w:hAnsi="Times New Roman" w:eastAsia="仿宋_GB2312" w:cs="Times New Roman"/>
          <w:sz w:val="32"/>
          <w:highlight w:val="none"/>
        </w:rPr>
        <w:t>留地，</w:t>
      </w:r>
      <w:r>
        <w:rPr>
          <w:rFonts w:hint="default" w:ascii="Times New Roman" w:hAnsi="Times New Roman" w:eastAsia="仿宋_GB2312" w:cs="Times New Roman"/>
          <w:sz w:val="32"/>
          <w:highlight w:val="none"/>
          <w:lang w:val="en-US" w:eastAsia="zh-CN"/>
        </w:rPr>
        <w:t>拟在</w:t>
      </w:r>
      <w:r>
        <w:rPr>
          <w:rFonts w:hint="eastAsia" w:ascii="Times New Roman" w:hAnsi="Times New Roman" w:eastAsia="仿宋_GB2312" w:cs="Times New Roman"/>
          <w:sz w:val="32"/>
          <w:highlight w:val="none"/>
          <w:lang w:val="en-US" w:eastAsia="zh-CN"/>
        </w:rPr>
        <w:t>广州市花都区2011年度第十七批次城镇建设用地中</w:t>
      </w:r>
      <w:r>
        <w:rPr>
          <w:rFonts w:hint="default" w:ascii="Times New Roman" w:hAnsi="Times New Roman" w:eastAsia="仿宋_GB2312" w:cs="Times New Roman"/>
          <w:sz w:val="32"/>
          <w:highlight w:val="none"/>
          <w:lang w:val="en-US" w:eastAsia="zh-CN"/>
        </w:rPr>
        <w:t>安排落实</w:t>
      </w:r>
      <w:r>
        <w:rPr>
          <w:rFonts w:hint="default" w:ascii="Times New Roman" w:hAnsi="Times New Roman" w:eastAsia="仿宋_GB2312" w:cs="Times New Roman"/>
          <w:sz w:val="32"/>
          <w:highlight w:val="none"/>
        </w:rPr>
        <w:t>；给上述被征地</w:t>
      </w:r>
      <w:r>
        <w:rPr>
          <w:rFonts w:hint="default" w:ascii="Times New Roman" w:hAnsi="Times New Roman" w:eastAsia="仿宋_GB2312" w:cs="Times New Roman"/>
          <w:sz w:val="32"/>
        </w:rPr>
        <w:t>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0YmU0MTFhYTU5ZWI2NGZiZTg3YWIwNjg3ZTE3NTQ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BF56F3"/>
    <w:rsid w:val="047D565D"/>
    <w:rsid w:val="048E01FF"/>
    <w:rsid w:val="09373001"/>
    <w:rsid w:val="0B017B66"/>
    <w:rsid w:val="0C4869FB"/>
    <w:rsid w:val="0D2E50A2"/>
    <w:rsid w:val="0D413AF4"/>
    <w:rsid w:val="0E8E79F1"/>
    <w:rsid w:val="0F036D42"/>
    <w:rsid w:val="0F7468AC"/>
    <w:rsid w:val="10C95C7C"/>
    <w:rsid w:val="175775B7"/>
    <w:rsid w:val="1AAE50AD"/>
    <w:rsid w:val="1B67425E"/>
    <w:rsid w:val="1F6F2568"/>
    <w:rsid w:val="20F83E3C"/>
    <w:rsid w:val="24E442BA"/>
    <w:rsid w:val="251454D0"/>
    <w:rsid w:val="289B209A"/>
    <w:rsid w:val="2C302BC5"/>
    <w:rsid w:val="2C9659B9"/>
    <w:rsid w:val="2EF0642D"/>
    <w:rsid w:val="2F1124AC"/>
    <w:rsid w:val="333D0568"/>
    <w:rsid w:val="3C38025F"/>
    <w:rsid w:val="3C992538"/>
    <w:rsid w:val="3CCC51C3"/>
    <w:rsid w:val="3F3A5E5C"/>
    <w:rsid w:val="3F3B12E2"/>
    <w:rsid w:val="42B31A3C"/>
    <w:rsid w:val="43232767"/>
    <w:rsid w:val="45296E84"/>
    <w:rsid w:val="452B1162"/>
    <w:rsid w:val="46212862"/>
    <w:rsid w:val="469601E4"/>
    <w:rsid w:val="46B93A18"/>
    <w:rsid w:val="47C40AA6"/>
    <w:rsid w:val="494E5AF8"/>
    <w:rsid w:val="4B3F663F"/>
    <w:rsid w:val="4B442BE5"/>
    <w:rsid w:val="4F022724"/>
    <w:rsid w:val="50082F1B"/>
    <w:rsid w:val="53CB23A2"/>
    <w:rsid w:val="558F35EE"/>
    <w:rsid w:val="572C1E49"/>
    <w:rsid w:val="58021AF1"/>
    <w:rsid w:val="5F19102D"/>
    <w:rsid w:val="622845F4"/>
    <w:rsid w:val="69CF412D"/>
    <w:rsid w:val="6A2503CE"/>
    <w:rsid w:val="6B3D53FB"/>
    <w:rsid w:val="6C955E78"/>
    <w:rsid w:val="6D4C5CE1"/>
    <w:rsid w:val="6DC738F3"/>
    <w:rsid w:val="6E8A201D"/>
    <w:rsid w:val="72CA3E75"/>
    <w:rsid w:val="72EE757E"/>
    <w:rsid w:val="73C32F03"/>
    <w:rsid w:val="73F95736"/>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1150</Words>
  <Characters>1441</Characters>
  <Lines>10</Lines>
  <Paragraphs>2</Paragraphs>
  <TotalTime>8</TotalTime>
  <ScaleCrop>false</ScaleCrop>
  <LinksUpToDate>false</LinksUpToDate>
  <CharactersWithSpaces>1499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2022-10-26T08:12:00Z</cp:lastPrinted>
  <dcterms:modified xsi:type="dcterms:W3CDTF">2022-11-04T07:39:57Z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