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w:hAnsi="Times New Roman" w:cs="Times New Roman"/>
          <w:sz w:val="28"/>
          <w:szCs w:val="28"/>
        </w:rPr>
      </w:pPr>
    </w:p>
    <w:p>
      <w:pPr>
        <w:jc w:val="center"/>
        <w:rPr>
          <w:rFonts w:hint="default" w:ascii="Times New Roman" w:hAnsi="Times New Roman" w:cs="Times New Roman"/>
          <w:sz w:val="28"/>
          <w:szCs w:val="28"/>
        </w:rPr>
      </w:pPr>
    </w:p>
    <w:p>
      <w:pPr>
        <w:jc w:val="center"/>
        <w:rPr>
          <w:rFonts w:hint="default" w:ascii="Times New Roman" w:hAnsi="Times New Roman" w:cs="Times New Roman"/>
          <w:sz w:val="28"/>
          <w:szCs w:val="28"/>
        </w:rPr>
      </w:pPr>
    </w:p>
    <w:p>
      <w:pPr>
        <w:jc w:val="center"/>
        <w:rPr>
          <w:rFonts w:hint="default" w:ascii="Times New Roman" w:hAnsi="Times New Roman" w:cs="Times New Roman"/>
          <w:sz w:val="28"/>
          <w:szCs w:val="28"/>
        </w:rPr>
      </w:pPr>
    </w:p>
    <w:p>
      <w:pPr>
        <w:jc w:val="center"/>
        <w:rPr>
          <w:rFonts w:hint="default" w:ascii="Times New Roman" w:hAnsi="Times New Roman" w:cs="Times New Roman"/>
          <w:sz w:val="28"/>
          <w:szCs w:val="28"/>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highlight w:val="none"/>
        </w:rPr>
      </w:pPr>
      <w:r>
        <w:rPr>
          <w:rFonts w:hint="eastAsia" w:eastAsia="方正小标宋简体" w:cs="Times New Roman"/>
          <w:sz w:val="44"/>
          <w:szCs w:val="44"/>
          <w:highlight w:val="none"/>
          <w:lang w:val="en-US" w:eastAsia="zh-CN"/>
        </w:rPr>
        <w:t>关于广州市花都区2022年度第四十二批次城镇建设用地（花都区新街河北一地块）</w:t>
      </w:r>
      <w:bookmarkStart w:id="0" w:name="_GoBack"/>
      <w:bookmarkEnd w:id="0"/>
      <w:r>
        <w:rPr>
          <w:rFonts w:hint="eastAsia" w:eastAsia="方正小标宋简体" w:cs="Times New Roman"/>
          <w:sz w:val="44"/>
          <w:szCs w:val="44"/>
          <w:highlight w:val="none"/>
          <w:lang w:val="en-US" w:eastAsia="zh-CN"/>
        </w:rPr>
        <w:t>的征地补偿安置方案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rPr>
      </w:pP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为实施广州市花都区</w:t>
      </w:r>
      <w:r>
        <w:rPr>
          <w:rFonts w:hint="default" w:ascii="Times New Roman" w:hAnsi="Times New Roman" w:eastAsia="仿宋_GB2312" w:cs="Times New Roman"/>
          <w:sz w:val="32"/>
          <w:highlight w:val="none"/>
          <w:lang w:val="en-US" w:eastAsia="zh-CN"/>
        </w:rPr>
        <w:t>新华街</w:t>
      </w:r>
      <w:r>
        <w:rPr>
          <w:rFonts w:hint="default" w:ascii="Times New Roman" w:hAnsi="Times New Roman" w:eastAsia="仿宋_GB2312" w:cs="Times New Roman"/>
          <w:sz w:val="32"/>
        </w:rPr>
        <w:t>建设规划，完善城市功能，改善城市环境，促进经济、文化发展。我区拟征收</w:t>
      </w:r>
      <w:r>
        <w:rPr>
          <w:rFonts w:hint="default" w:ascii="Times New Roman" w:hAnsi="Times New Roman" w:eastAsia="仿宋_GB2312" w:cs="Times New Roman"/>
          <w:sz w:val="32"/>
          <w:highlight w:val="none"/>
        </w:rPr>
        <w:t>广州市花都区</w:t>
      </w:r>
      <w:r>
        <w:rPr>
          <w:rFonts w:hint="default" w:ascii="Times New Roman" w:hAnsi="Times New Roman" w:eastAsia="仿宋_GB2312" w:cs="Times New Roman"/>
          <w:sz w:val="32"/>
          <w:szCs w:val="32"/>
          <w:highlight w:val="none"/>
          <w:lang w:val="en-US" w:eastAsia="zh-CN"/>
        </w:rPr>
        <w:t>新华</w:t>
      </w:r>
      <w:r>
        <w:rPr>
          <w:rFonts w:hint="default" w:ascii="Times New Roman" w:hAnsi="Times New Roman" w:eastAsia="仿宋_GB2312" w:cs="Times New Roman"/>
          <w:sz w:val="32"/>
          <w:szCs w:val="32"/>
          <w:highlight w:val="none"/>
        </w:rPr>
        <w:t>街</w:t>
      </w:r>
      <w:r>
        <w:rPr>
          <w:rFonts w:hint="default" w:ascii="Times New Roman" w:hAnsi="Times New Roman" w:eastAsia="仿宋_GB2312" w:cs="Times New Roman"/>
          <w:sz w:val="32"/>
          <w:szCs w:val="32"/>
          <w:highlight w:val="none"/>
          <w:lang w:val="en-US" w:eastAsia="zh-CN"/>
        </w:rPr>
        <w:t>新街村钟村经济合作社</w:t>
      </w:r>
      <w:r>
        <w:rPr>
          <w:rFonts w:hint="default" w:ascii="Times New Roman" w:hAnsi="Times New Roman" w:eastAsia="仿宋_GB2312" w:cs="Times New Roman"/>
          <w:sz w:val="32"/>
          <w:highlight w:val="none"/>
        </w:rPr>
        <w:t>属下的集体土地</w:t>
      </w:r>
      <w:r>
        <w:rPr>
          <w:rFonts w:hint="default" w:ascii="Times New Roman" w:hAnsi="Times New Roman" w:eastAsia="仿宋_GB2312" w:cs="Times New Roman"/>
          <w:sz w:val="32"/>
          <w:szCs w:val="32"/>
          <w:highlight w:val="none"/>
          <w:lang w:val="en-US" w:eastAsia="zh-CN"/>
        </w:rPr>
        <w:t>8.1371</w:t>
      </w:r>
      <w:r>
        <w:rPr>
          <w:rFonts w:hint="default" w:ascii="Times New Roman" w:hAnsi="Times New Roman" w:eastAsia="仿宋_GB2312" w:cs="Times New Roman"/>
          <w:sz w:val="32"/>
          <w:szCs w:val="32"/>
          <w:highlight w:val="none"/>
        </w:rPr>
        <w:t>公顷</w:t>
      </w:r>
      <w:r>
        <w:rPr>
          <w:rFonts w:hint="default" w:ascii="Times New Roman" w:hAnsi="Times New Roman" w:eastAsia="仿宋_GB2312" w:cs="Times New Roman"/>
          <w:sz w:val="32"/>
        </w:rPr>
        <w:t>。根据《中华人民共和国土地管理法》第二条、第四十五条、第四十七条有关</w:t>
      </w:r>
      <w:r>
        <w:rPr>
          <w:rFonts w:hint="default" w:ascii="Times New Roman" w:hAnsi="Times New Roman" w:eastAsia="仿宋_GB2312" w:cs="Times New Roman"/>
          <w:sz w:val="32"/>
          <w:highlight w:val="none"/>
        </w:rPr>
        <w:t>规定精神、</w:t>
      </w:r>
      <w:r>
        <w:rPr>
          <w:rFonts w:hint="default" w:ascii="Times New Roman" w:hAnsi="Times New Roman" w:eastAsia="仿宋_GB2312" w:cs="Times New Roman"/>
          <w:sz w:val="32"/>
          <w:highlight w:val="none"/>
          <w:lang w:val="en-US" w:eastAsia="zh-CN"/>
        </w:rPr>
        <w:t>《广东省土地管理条例》第三十条等规定</w:t>
      </w:r>
      <w:r>
        <w:rPr>
          <w:rFonts w:hint="default" w:ascii="Times New Roman" w:hAnsi="Times New Roman" w:eastAsia="仿宋_GB2312" w:cs="Times New Roman"/>
          <w:sz w:val="32"/>
          <w:highlight w:val="none"/>
        </w:rPr>
        <w:t>，</w:t>
      </w:r>
      <w:r>
        <w:rPr>
          <w:rFonts w:hint="default" w:ascii="Times New Roman" w:hAnsi="Times New Roman" w:eastAsia="仿宋_GB2312" w:cs="Times New Roman"/>
          <w:sz w:val="32"/>
          <w:szCs w:val="32"/>
        </w:rPr>
        <w:t>结合我区的征收农用地区片综合地价和实际情况，拟定了征地补偿安置方案，具体如下：</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黑体" w:cs="Times New Roman"/>
          <w:sz w:val="32"/>
        </w:rPr>
      </w:pPr>
      <w:r>
        <w:rPr>
          <w:rFonts w:hint="default" w:ascii="Times New Roman" w:hAnsi="Times New Roman" w:eastAsia="黑体" w:cs="Times New Roman"/>
          <w:sz w:val="32"/>
        </w:rPr>
        <w:t>一、征收集体土地情况</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征收</w:t>
      </w:r>
      <w:r>
        <w:rPr>
          <w:rFonts w:hint="eastAsia" w:ascii="Times New Roman" w:hAnsi="Times New Roman" w:eastAsia="仿宋_GB2312" w:cs="Times New Roman"/>
          <w:sz w:val="32"/>
          <w:lang w:val="en-US" w:eastAsia="zh-CN"/>
        </w:rPr>
        <w:t>新华街新街村</w:t>
      </w:r>
      <w:r>
        <w:rPr>
          <w:rFonts w:hint="default" w:ascii="Times New Roman" w:hAnsi="Times New Roman" w:eastAsia="仿宋_GB2312" w:cs="Times New Roman"/>
          <w:sz w:val="32"/>
        </w:rPr>
        <w:t>集体土地总面积</w:t>
      </w:r>
      <w:r>
        <w:rPr>
          <w:rFonts w:hint="eastAsia" w:ascii="Times New Roman" w:hAnsi="Times New Roman" w:eastAsia="仿宋_GB2312" w:cs="Times New Roman"/>
          <w:sz w:val="32"/>
          <w:lang w:val="en-US" w:eastAsia="zh-CN"/>
        </w:rPr>
        <w:t>8.1371</w:t>
      </w:r>
      <w:r>
        <w:rPr>
          <w:rFonts w:hint="default" w:ascii="Times New Roman" w:hAnsi="Times New Roman" w:eastAsia="仿宋_GB2312" w:cs="Times New Roman"/>
          <w:sz w:val="32"/>
        </w:rPr>
        <w:t>公顷，</w:t>
      </w:r>
      <w:r>
        <w:rPr>
          <w:rFonts w:hint="eastAsia" w:ascii="Times New Roman" w:hAnsi="Times New Roman" w:eastAsia="仿宋_GB2312" w:cs="Times New Roman"/>
          <w:sz w:val="32"/>
          <w:lang w:eastAsia="zh-CN"/>
        </w:rPr>
        <w:t>其中农用地</w:t>
      </w:r>
      <w:r>
        <w:rPr>
          <w:rFonts w:hint="eastAsia" w:ascii="Times New Roman" w:hAnsi="Times New Roman" w:eastAsia="仿宋_GB2312" w:cs="Times New Roman"/>
          <w:sz w:val="32"/>
          <w:lang w:val="en-US" w:eastAsia="zh-CN"/>
        </w:rPr>
        <w:t>5.4503公顷（耕地0.2061公顷、其他农用地5.2442公顷）、</w:t>
      </w:r>
      <w:r>
        <w:rPr>
          <w:rFonts w:hint="default" w:ascii="Times New Roman" w:hAnsi="Times New Roman" w:eastAsia="仿宋_GB2312" w:cs="Times New Roman"/>
          <w:sz w:val="32"/>
        </w:rPr>
        <w:t>建设用地</w:t>
      </w:r>
      <w:r>
        <w:rPr>
          <w:rFonts w:hint="eastAsia" w:ascii="Times New Roman" w:hAnsi="Times New Roman" w:eastAsia="仿宋_GB2312" w:cs="Times New Roman"/>
          <w:sz w:val="32"/>
          <w:lang w:val="en-US" w:eastAsia="zh-CN"/>
        </w:rPr>
        <w:t>2.6868公顷</w:t>
      </w:r>
      <w:r>
        <w:rPr>
          <w:rFonts w:hint="default" w:ascii="Times New Roman" w:hAnsi="Times New Roman" w:eastAsia="仿宋_GB2312" w:cs="Times New Roman"/>
          <w:sz w:val="32"/>
        </w:rPr>
        <w:t>。</w:t>
      </w:r>
    </w:p>
    <w:p>
      <w:pPr>
        <w:keepNext w:val="0"/>
        <w:keepLines w:val="0"/>
        <w:pageBreakBefore w:val="0"/>
        <w:widowControl w:val="0"/>
        <w:numPr>
          <w:ilvl w:val="0"/>
          <w:numId w:val="1"/>
        </w:numPr>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黑体" w:cs="Times New Roman"/>
          <w:sz w:val="32"/>
        </w:rPr>
      </w:pPr>
      <w:r>
        <w:rPr>
          <w:rFonts w:hint="default" w:ascii="Times New Roman" w:hAnsi="Times New Roman" w:eastAsia="黑体" w:cs="Times New Roman"/>
          <w:sz w:val="32"/>
        </w:rPr>
        <w:t>征地补偿标准</w:t>
      </w:r>
    </w:p>
    <w:p>
      <w:pPr>
        <w:keepNext w:val="0"/>
        <w:keepLines w:val="0"/>
        <w:pageBreakBefore w:val="0"/>
        <w:widowControl w:val="0"/>
        <w:numPr>
          <w:ilvl w:val="0"/>
          <w:numId w:val="2"/>
        </w:numPr>
        <w:kinsoku/>
        <w:wordWrap/>
        <w:overflowPunct/>
        <w:topLinePunct w:val="0"/>
        <w:autoSpaceDE/>
        <w:autoSpaceDN/>
        <w:bidi w:val="0"/>
        <w:adjustRightInd/>
        <w:snapToGrid/>
        <w:spacing w:line="640" w:lineRule="exact"/>
        <w:ind w:left="640" w:leftChars="0" w:firstLine="0" w:firstLineChars="0"/>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土地补偿费与安置补助费</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640" w:leftChars="0"/>
        <w:textAlignment w:val="auto"/>
        <w:rPr>
          <w:rFonts w:hint="default" w:ascii="Times New Roman" w:hAnsi="Times New Roman" w:eastAsia="仿宋_GB2312" w:cs="Times New Roman"/>
          <w:sz w:val="32"/>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640" w:leftChars="0"/>
        <w:textAlignment w:val="auto"/>
        <w:rPr>
          <w:rFonts w:hint="default" w:ascii="Times New Roman" w:hAnsi="Times New Roman" w:eastAsia="仿宋_GB2312" w:cs="Times New Roman"/>
          <w:sz w:val="32"/>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Times New Roman" w:hAnsi="Times New Roman" w:eastAsia="方正小标宋简体" w:cs="Times New Roman"/>
          <w:sz w:val="32"/>
          <w:szCs w:val="32"/>
        </w:rPr>
      </w:pPr>
      <w:r>
        <w:rPr>
          <w:rFonts w:hint="default" w:ascii="Times New Roman" w:hAnsi="Times New Roman" w:eastAsia="方正小标宋简体" w:cs="Times New Roman"/>
          <w:sz w:val="32"/>
          <w:szCs w:val="32"/>
        </w:rPr>
        <w:t>土地补偿费与安置补助费一览表（一）</w:t>
      </w:r>
    </w:p>
    <w:p>
      <w:pPr>
        <w:spacing w:line="620" w:lineRule="exact"/>
        <w:jc w:val="right"/>
        <w:rPr>
          <w:rFonts w:hint="default" w:ascii="Times New Roman" w:hAnsi="Times New Roman" w:eastAsia="仿宋_GB2312" w:cs="Times New Roman"/>
          <w:sz w:val="24"/>
        </w:rPr>
      </w:pPr>
      <w:r>
        <w:rPr>
          <w:rFonts w:hint="default" w:ascii="Times New Roman" w:hAnsi="Times New Roman" w:eastAsia="仿宋_GB2312" w:cs="Times New Roman"/>
          <w:sz w:val="24"/>
        </w:rPr>
        <w:t>（单位：公顷、万元/公顷、万元）</w:t>
      </w:r>
    </w:p>
    <w:tbl>
      <w:tblPr>
        <w:tblStyle w:val="7"/>
        <w:tblW w:w="94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567"/>
        <w:gridCol w:w="974"/>
        <w:gridCol w:w="1124"/>
        <w:gridCol w:w="992"/>
        <w:gridCol w:w="1163"/>
        <w:gridCol w:w="994"/>
        <w:gridCol w:w="1103"/>
        <w:gridCol w:w="14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restart"/>
            <w:vAlign w:val="center"/>
          </w:tcPr>
          <w:p>
            <w:pPr>
              <w:jc w:val="center"/>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单位</w:t>
            </w:r>
          </w:p>
        </w:tc>
        <w:tc>
          <w:tcPr>
            <w:tcW w:w="1541" w:type="dxa"/>
            <w:gridSpan w:val="2"/>
            <w:vMerge w:val="restart"/>
            <w:vAlign w:val="center"/>
          </w:tcPr>
          <w:p>
            <w:pPr>
              <w:jc w:val="center"/>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土地类别</w:t>
            </w:r>
          </w:p>
        </w:tc>
        <w:tc>
          <w:tcPr>
            <w:tcW w:w="1124" w:type="dxa"/>
            <w:vMerge w:val="restart"/>
            <w:vAlign w:val="center"/>
          </w:tcPr>
          <w:p>
            <w:pPr>
              <w:jc w:val="center"/>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面积</w:t>
            </w:r>
          </w:p>
        </w:tc>
        <w:tc>
          <w:tcPr>
            <w:tcW w:w="2155" w:type="dxa"/>
            <w:gridSpan w:val="2"/>
            <w:vAlign w:val="center"/>
          </w:tcPr>
          <w:p>
            <w:pPr>
              <w:jc w:val="center"/>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土地补偿费</w:t>
            </w:r>
          </w:p>
        </w:tc>
        <w:tc>
          <w:tcPr>
            <w:tcW w:w="2097" w:type="dxa"/>
            <w:gridSpan w:val="2"/>
            <w:vAlign w:val="center"/>
          </w:tcPr>
          <w:p>
            <w:pPr>
              <w:jc w:val="center"/>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安置补助费</w:t>
            </w:r>
          </w:p>
        </w:tc>
        <w:tc>
          <w:tcPr>
            <w:tcW w:w="1409" w:type="dxa"/>
            <w:tcBorders>
              <w:bottom w:val="single" w:color="auto" w:sz="4" w:space="0"/>
            </w:tcBorders>
            <w:vAlign w:val="center"/>
          </w:tcPr>
          <w:p>
            <w:pPr>
              <w:jc w:val="center"/>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vAlign w:val="center"/>
          </w:tcPr>
          <w:p>
            <w:pPr>
              <w:jc w:val="center"/>
              <w:rPr>
                <w:rFonts w:hint="default" w:ascii="Times New Roman" w:hAnsi="Times New Roman" w:eastAsia="仿宋_GB2312" w:cs="Times New Roman"/>
                <w:b/>
                <w:bCs/>
                <w:sz w:val="24"/>
              </w:rPr>
            </w:pPr>
          </w:p>
        </w:tc>
        <w:tc>
          <w:tcPr>
            <w:tcW w:w="1541" w:type="dxa"/>
            <w:gridSpan w:val="2"/>
            <w:vMerge w:val="continue"/>
            <w:vAlign w:val="center"/>
          </w:tcPr>
          <w:p>
            <w:pPr>
              <w:jc w:val="center"/>
              <w:rPr>
                <w:rFonts w:hint="default" w:ascii="Times New Roman" w:hAnsi="Times New Roman" w:eastAsia="仿宋_GB2312" w:cs="Times New Roman"/>
                <w:b/>
                <w:bCs/>
                <w:sz w:val="24"/>
              </w:rPr>
            </w:pPr>
          </w:p>
        </w:tc>
        <w:tc>
          <w:tcPr>
            <w:tcW w:w="1124" w:type="dxa"/>
            <w:vMerge w:val="continue"/>
            <w:vAlign w:val="center"/>
          </w:tcPr>
          <w:p>
            <w:pPr>
              <w:jc w:val="center"/>
              <w:rPr>
                <w:rFonts w:hint="default" w:ascii="Times New Roman" w:hAnsi="Times New Roman" w:eastAsia="仿宋_GB2312" w:cs="Times New Roman"/>
                <w:b/>
                <w:bCs/>
                <w:sz w:val="24"/>
              </w:rPr>
            </w:pPr>
          </w:p>
        </w:tc>
        <w:tc>
          <w:tcPr>
            <w:tcW w:w="992" w:type="dxa"/>
            <w:vAlign w:val="center"/>
          </w:tcPr>
          <w:p>
            <w:pPr>
              <w:jc w:val="center"/>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补偿</w:t>
            </w:r>
          </w:p>
          <w:p>
            <w:pPr>
              <w:jc w:val="center"/>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标准</w:t>
            </w:r>
          </w:p>
        </w:tc>
        <w:tc>
          <w:tcPr>
            <w:tcW w:w="1163" w:type="dxa"/>
            <w:vAlign w:val="center"/>
          </w:tcPr>
          <w:p>
            <w:pPr>
              <w:jc w:val="center"/>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补偿</w:t>
            </w:r>
          </w:p>
          <w:p>
            <w:pPr>
              <w:jc w:val="center"/>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金额</w:t>
            </w:r>
          </w:p>
        </w:tc>
        <w:tc>
          <w:tcPr>
            <w:tcW w:w="994" w:type="dxa"/>
            <w:vAlign w:val="center"/>
          </w:tcPr>
          <w:p>
            <w:pPr>
              <w:jc w:val="center"/>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补助</w:t>
            </w:r>
          </w:p>
          <w:p>
            <w:pPr>
              <w:jc w:val="center"/>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标准</w:t>
            </w:r>
          </w:p>
        </w:tc>
        <w:tc>
          <w:tcPr>
            <w:tcW w:w="1103" w:type="dxa"/>
            <w:vAlign w:val="center"/>
          </w:tcPr>
          <w:p>
            <w:pPr>
              <w:jc w:val="center"/>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补助</w:t>
            </w:r>
          </w:p>
          <w:p>
            <w:pPr>
              <w:jc w:val="center"/>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金额</w:t>
            </w:r>
          </w:p>
        </w:tc>
        <w:tc>
          <w:tcPr>
            <w:tcW w:w="1409" w:type="dxa"/>
            <w:tcBorders>
              <w:tl2br w:val="single" w:color="auto" w:sz="4" w:space="0"/>
              <w:tr2bl w:val="nil"/>
            </w:tcBorders>
            <w:vAlign w:val="center"/>
          </w:tcPr>
          <w:p>
            <w:pPr>
              <w:jc w:val="center"/>
              <w:rPr>
                <w:rFonts w:hint="default" w:ascii="Times New Roman" w:hAnsi="Times New Roman" w:eastAsia="仿宋_GB2312" w:cs="Times New Roman"/>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129" w:type="dxa"/>
            <w:vMerge w:val="restart"/>
            <w:vAlign w:val="center"/>
          </w:tcPr>
          <w:p>
            <w:pPr>
              <w:widowControl/>
              <w:jc w:val="center"/>
              <w:textAlignment w:val="center"/>
              <w:rPr>
                <w:rFonts w:hint="default" w:ascii="Times New Roman" w:hAnsi="Times New Roman" w:eastAsia="仿宋_GB2312" w:cs="Times New Roman"/>
                <w:sz w:val="24"/>
              </w:rPr>
            </w:pPr>
            <w:r>
              <w:rPr>
                <w:rFonts w:hint="default" w:ascii="Times New Roman" w:hAnsi="Times New Roman" w:eastAsia="仿宋_GB2312" w:cs="Times New Roman"/>
                <w:sz w:val="24"/>
              </w:rPr>
              <w:t>广州市花都区</w:t>
            </w:r>
            <w:r>
              <w:rPr>
                <w:rFonts w:hint="eastAsia" w:eastAsia="仿宋_GB2312" w:cs="Times New Roman"/>
                <w:sz w:val="24"/>
                <w:highlight w:val="none"/>
                <w:lang w:val="en-US" w:eastAsia="zh-CN"/>
              </w:rPr>
              <w:t>新华街新街村钟村经济合作社</w:t>
            </w:r>
          </w:p>
        </w:tc>
        <w:tc>
          <w:tcPr>
            <w:tcW w:w="567" w:type="dxa"/>
            <w:vMerge w:val="restart"/>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耕地</w:t>
            </w:r>
          </w:p>
        </w:tc>
        <w:tc>
          <w:tcPr>
            <w:tcW w:w="974"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水田</w:t>
            </w:r>
          </w:p>
        </w:tc>
        <w:tc>
          <w:tcPr>
            <w:tcW w:w="1124" w:type="dxa"/>
            <w:vAlign w:val="center"/>
          </w:tcPr>
          <w:p>
            <w:pPr>
              <w:jc w:val="center"/>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0</w:t>
            </w:r>
          </w:p>
        </w:tc>
        <w:tc>
          <w:tcPr>
            <w:tcW w:w="992" w:type="dxa"/>
            <w:vAlign w:val="center"/>
          </w:tcPr>
          <w:p>
            <w:pPr>
              <w:jc w:val="center"/>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120</w:t>
            </w:r>
          </w:p>
        </w:tc>
        <w:tc>
          <w:tcPr>
            <w:tcW w:w="1163" w:type="dxa"/>
            <w:vAlign w:val="center"/>
          </w:tcPr>
          <w:p>
            <w:pPr>
              <w:jc w:val="center"/>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0</w:t>
            </w:r>
          </w:p>
        </w:tc>
        <w:tc>
          <w:tcPr>
            <w:tcW w:w="994" w:type="dxa"/>
            <w:vAlign w:val="center"/>
          </w:tcPr>
          <w:p>
            <w:pPr>
              <w:jc w:val="center"/>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120</w:t>
            </w:r>
          </w:p>
        </w:tc>
        <w:tc>
          <w:tcPr>
            <w:tcW w:w="1103" w:type="dxa"/>
            <w:vAlign w:val="center"/>
          </w:tcPr>
          <w:p>
            <w:pPr>
              <w:jc w:val="center"/>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0</w:t>
            </w:r>
          </w:p>
        </w:tc>
        <w:tc>
          <w:tcPr>
            <w:tcW w:w="1409" w:type="dxa"/>
            <w:vAlign w:val="center"/>
          </w:tcPr>
          <w:p>
            <w:pPr>
              <w:jc w:val="center"/>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129" w:type="dxa"/>
            <w:vMerge w:val="continue"/>
            <w:vAlign w:val="center"/>
          </w:tcPr>
          <w:p>
            <w:pPr>
              <w:jc w:val="center"/>
              <w:rPr>
                <w:rFonts w:hint="default" w:ascii="Times New Roman" w:hAnsi="Times New Roman" w:eastAsia="仿宋_GB2312" w:cs="Times New Roman"/>
                <w:sz w:val="24"/>
              </w:rPr>
            </w:pPr>
          </w:p>
        </w:tc>
        <w:tc>
          <w:tcPr>
            <w:tcW w:w="567" w:type="dxa"/>
            <w:vMerge w:val="continue"/>
            <w:vAlign w:val="center"/>
          </w:tcPr>
          <w:p>
            <w:pPr>
              <w:jc w:val="center"/>
              <w:rPr>
                <w:rFonts w:hint="default" w:ascii="Times New Roman" w:hAnsi="Times New Roman" w:eastAsia="仿宋_GB2312" w:cs="Times New Roman"/>
                <w:sz w:val="24"/>
              </w:rPr>
            </w:pPr>
          </w:p>
        </w:tc>
        <w:tc>
          <w:tcPr>
            <w:tcW w:w="974"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水浇地</w:t>
            </w:r>
          </w:p>
        </w:tc>
        <w:tc>
          <w:tcPr>
            <w:tcW w:w="1124" w:type="dxa"/>
            <w:vAlign w:val="center"/>
          </w:tcPr>
          <w:p>
            <w:pPr>
              <w:jc w:val="center"/>
              <w:rPr>
                <w:rFonts w:hint="default" w:ascii="Times New Roman" w:hAnsi="Times New Roman" w:cs="Times New Roman" w:eastAsiaTheme="minorEastAsia"/>
                <w:szCs w:val="21"/>
                <w:lang w:val="en-US" w:eastAsia="zh-CN"/>
              </w:rPr>
            </w:pPr>
            <w:r>
              <w:rPr>
                <w:rFonts w:hint="eastAsia" w:cs="Times New Roman" w:eastAsiaTheme="minorEastAsia"/>
                <w:szCs w:val="21"/>
                <w:lang w:val="en-US" w:eastAsia="zh-CN"/>
              </w:rPr>
              <w:t>0.2061</w:t>
            </w:r>
          </w:p>
        </w:tc>
        <w:tc>
          <w:tcPr>
            <w:tcW w:w="992" w:type="dxa"/>
            <w:vAlign w:val="center"/>
          </w:tcPr>
          <w:p>
            <w:pPr>
              <w:jc w:val="center"/>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120</w:t>
            </w:r>
          </w:p>
        </w:tc>
        <w:tc>
          <w:tcPr>
            <w:tcW w:w="1163" w:type="dxa"/>
            <w:vAlign w:val="center"/>
          </w:tcPr>
          <w:p>
            <w:pPr>
              <w:jc w:val="center"/>
              <w:rPr>
                <w:rFonts w:hint="default" w:ascii="Times New Roman" w:hAnsi="Times New Roman" w:cs="Times New Roman" w:eastAsiaTheme="minorEastAsia"/>
                <w:szCs w:val="21"/>
                <w:lang w:val="en-US" w:eastAsia="zh-CN"/>
              </w:rPr>
            </w:pPr>
            <w:r>
              <w:rPr>
                <w:rFonts w:hint="default" w:ascii="Times New Roman" w:hAnsi="Times New Roman" w:cs="Times New Roman" w:eastAsiaTheme="minorEastAsia"/>
                <w:szCs w:val="21"/>
                <w:lang w:val="en-US" w:eastAsia="zh-CN"/>
              </w:rPr>
              <w:t>24.732</w:t>
            </w:r>
            <w:r>
              <w:rPr>
                <w:rFonts w:hint="eastAsia" w:cs="Times New Roman" w:eastAsiaTheme="minorEastAsia"/>
                <w:szCs w:val="21"/>
                <w:lang w:val="en-US" w:eastAsia="zh-CN"/>
              </w:rPr>
              <w:t>0</w:t>
            </w:r>
          </w:p>
        </w:tc>
        <w:tc>
          <w:tcPr>
            <w:tcW w:w="994" w:type="dxa"/>
            <w:vAlign w:val="center"/>
          </w:tcPr>
          <w:p>
            <w:pPr>
              <w:jc w:val="center"/>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120</w:t>
            </w:r>
          </w:p>
        </w:tc>
        <w:tc>
          <w:tcPr>
            <w:tcW w:w="1103" w:type="dxa"/>
            <w:vAlign w:val="center"/>
          </w:tcPr>
          <w:p>
            <w:pPr>
              <w:jc w:val="center"/>
              <w:rPr>
                <w:rFonts w:hint="default" w:ascii="Times New Roman" w:hAnsi="Times New Roman" w:cs="Times New Roman" w:eastAsiaTheme="minorEastAsia"/>
                <w:szCs w:val="21"/>
                <w:lang w:val="en-US" w:eastAsia="zh-CN"/>
              </w:rPr>
            </w:pPr>
            <w:r>
              <w:rPr>
                <w:rFonts w:hint="default" w:ascii="Times New Roman" w:hAnsi="Times New Roman" w:cs="Times New Roman" w:eastAsiaTheme="minorEastAsia"/>
                <w:szCs w:val="21"/>
                <w:lang w:val="en-US" w:eastAsia="zh-CN"/>
              </w:rPr>
              <w:t>24.732</w:t>
            </w:r>
            <w:r>
              <w:rPr>
                <w:rFonts w:hint="eastAsia" w:cs="Times New Roman" w:eastAsiaTheme="minorEastAsia"/>
                <w:szCs w:val="21"/>
                <w:lang w:val="en-US" w:eastAsia="zh-CN"/>
              </w:rPr>
              <w:t>0</w:t>
            </w:r>
          </w:p>
        </w:tc>
        <w:tc>
          <w:tcPr>
            <w:tcW w:w="1409" w:type="dxa"/>
            <w:vAlign w:val="center"/>
          </w:tcPr>
          <w:p>
            <w:pPr>
              <w:jc w:val="center"/>
              <w:rPr>
                <w:rFonts w:hint="default" w:ascii="Times New Roman" w:hAnsi="Times New Roman" w:cs="Times New Roman" w:eastAsiaTheme="minorEastAsia"/>
                <w:szCs w:val="21"/>
                <w:lang w:val="en-US" w:eastAsia="zh-CN"/>
              </w:rPr>
            </w:pPr>
            <w:r>
              <w:rPr>
                <w:rFonts w:hint="default" w:ascii="Times New Roman" w:hAnsi="Times New Roman" w:cs="Times New Roman" w:eastAsiaTheme="minorEastAsia"/>
                <w:szCs w:val="21"/>
                <w:lang w:val="en-US" w:eastAsia="zh-CN"/>
              </w:rPr>
              <w:t>49.464</w:t>
            </w:r>
            <w:r>
              <w:rPr>
                <w:rFonts w:hint="eastAsia" w:cs="Times New Roman" w:eastAsiaTheme="minorEastAsia"/>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129" w:type="dxa"/>
            <w:vMerge w:val="continue"/>
            <w:vAlign w:val="center"/>
          </w:tcPr>
          <w:p>
            <w:pPr>
              <w:jc w:val="center"/>
              <w:rPr>
                <w:rFonts w:hint="default" w:ascii="Times New Roman" w:hAnsi="Times New Roman" w:eastAsia="仿宋_GB2312" w:cs="Times New Roman"/>
                <w:sz w:val="24"/>
              </w:rPr>
            </w:pPr>
          </w:p>
        </w:tc>
        <w:tc>
          <w:tcPr>
            <w:tcW w:w="567" w:type="dxa"/>
            <w:vMerge w:val="continue"/>
            <w:vAlign w:val="center"/>
          </w:tcPr>
          <w:p>
            <w:pPr>
              <w:jc w:val="center"/>
              <w:rPr>
                <w:rFonts w:hint="default" w:ascii="Times New Roman" w:hAnsi="Times New Roman" w:eastAsia="仿宋_GB2312" w:cs="Times New Roman"/>
                <w:sz w:val="24"/>
              </w:rPr>
            </w:pPr>
          </w:p>
        </w:tc>
        <w:tc>
          <w:tcPr>
            <w:tcW w:w="974"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旱地</w:t>
            </w:r>
          </w:p>
        </w:tc>
        <w:tc>
          <w:tcPr>
            <w:tcW w:w="1124" w:type="dxa"/>
            <w:vAlign w:val="center"/>
          </w:tcPr>
          <w:p>
            <w:pPr>
              <w:jc w:val="center"/>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0</w:t>
            </w:r>
          </w:p>
        </w:tc>
        <w:tc>
          <w:tcPr>
            <w:tcW w:w="992" w:type="dxa"/>
            <w:vAlign w:val="center"/>
          </w:tcPr>
          <w:p>
            <w:pPr>
              <w:jc w:val="center"/>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120</w:t>
            </w:r>
          </w:p>
        </w:tc>
        <w:tc>
          <w:tcPr>
            <w:tcW w:w="1163" w:type="dxa"/>
            <w:vAlign w:val="center"/>
          </w:tcPr>
          <w:p>
            <w:pPr>
              <w:jc w:val="center"/>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0</w:t>
            </w:r>
          </w:p>
        </w:tc>
        <w:tc>
          <w:tcPr>
            <w:tcW w:w="994" w:type="dxa"/>
            <w:vAlign w:val="center"/>
          </w:tcPr>
          <w:p>
            <w:pPr>
              <w:jc w:val="center"/>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120</w:t>
            </w:r>
          </w:p>
        </w:tc>
        <w:tc>
          <w:tcPr>
            <w:tcW w:w="1103" w:type="dxa"/>
            <w:vAlign w:val="center"/>
          </w:tcPr>
          <w:p>
            <w:pPr>
              <w:jc w:val="center"/>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0</w:t>
            </w:r>
          </w:p>
        </w:tc>
        <w:tc>
          <w:tcPr>
            <w:tcW w:w="1409" w:type="dxa"/>
            <w:vAlign w:val="center"/>
          </w:tcPr>
          <w:p>
            <w:pPr>
              <w:jc w:val="center"/>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29" w:type="dxa"/>
            <w:vMerge w:val="continue"/>
            <w:vAlign w:val="center"/>
          </w:tcPr>
          <w:p>
            <w:pPr>
              <w:jc w:val="center"/>
              <w:rPr>
                <w:rFonts w:hint="default" w:ascii="Times New Roman" w:hAnsi="Times New Roman" w:eastAsia="仿宋_GB2312" w:cs="Times New Roman"/>
                <w:sz w:val="24"/>
              </w:rPr>
            </w:pPr>
          </w:p>
        </w:tc>
        <w:tc>
          <w:tcPr>
            <w:tcW w:w="1541" w:type="dxa"/>
            <w:gridSpan w:val="2"/>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园地</w:t>
            </w:r>
          </w:p>
        </w:tc>
        <w:tc>
          <w:tcPr>
            <w:tcW w:w="1124" w:type="dxa"/>
            <w:vAlign w:val="center"/>
          </w:tcPr>
          <w:p>
            <w:pPr>
              <w:jc w:val="center"/>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0</w:t>
            </w:r>
          </w:p>
        </w:tc>
        <w:tc>
          <w:tcPr>
            <w:tcW w:w="992" w:type="dxa"/>
            <w:vAlign w:val="center"/>
          </w:tcPr>
          <w:p>
            <w:pPr>
              <w:jc w:val="center"/>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120</w:t>
            </w:r>
          </w:p>
        </w:tc>
        <w:tc>
          <w:tcPr>
            <w:tcW w:w="1163" w:type="dxa"/>
            <w:vAlign w:val="center"/>
          </w:tcPr>
          <w:p>
            <w:pPr>
              <w:jc w:val="center"/>
              <w:rPr>
                <w:rFonts w:hint="default" w:ascii="Times New Roman" w:hAnsi="Times New Roman" w:cs="Times New Roman" w:eastAsiaTheme="minorEastAsia"/>
                <w:szCs w:val="21"/>
                <w:lang w:eastAsia="zh-CN"/>
              </w:rPr>
            </w:pPr>
            <w:r>
              <w:rPr>
                <w:rFonts w:hint="default" w:ascii="Times New Roman" w:hAnsi="Times New Roman" w:cs="Times New Roman" w:eastAsiaTheme="minorEastAsia"/>
                <w:szCs w:val="21"/>
                <w:lang w:val="en-US" w:eastAsia="zh-CN"/>
              </w:rPr>
              <w:t>0</w:t>
            </w:r>
          </w:p>
        </w:tc>
        <w:tc>
          <w:tcPr>
            <w:tcW w:w="994" w:type="dxa"/>
            <w:vAlign w:val="center"/>
          </w:tcPr>
          <w:p>
            <w:pPr>
              <w:jc w:val="center"/>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120</w:t>
            </w:r>
          </w:p>
        </w:tc>
        <w:tc>
          <w:tcPr>
            <w:tcW w:w="1103" w:type="dxa"/>
            <w:vAlign w:val="center"/>
          </w:tcPr>
          <w:p>
            <w:pPr>
              <w:jc w:val="center"/>
              <w:rPr>
                <w:rFonts w:hint="default" w:ascii="Times New Roman" w:hAnsi="Times New Roman" w:cs="Times New Roman" w:eastAsiaTheme="minorEastAsia"/>
                <w:szCs w:val="21"/>
                <w:lang w:eastAsia="zh-CN"/>
              </w:rPr>
            </w:pPr>
            <w:r>
              <w:rPr>
                <w:rFonts w:hint="default" w:ascii="Times New Roman" w:hAnsi="Times New Roman" w:cs="Times New Roman" w:eastAsiaTheme="minorEastAsia"/>
                <w:szCs w:val="21"/>
                <w:lang w:val="en-US" w:eastAsia="zh-CN"/>
              </w:rPr>
              <w:t>0</w:t>
            </w:r>
          </w:p>
        </w:tc>
        <w:tc>
          <w:tcPr>
            <w:tcW w:w="1409" w:type="dxa"/>
            <w:vAlign w:val="center"/>
          </w:tcPr>
          <w:p>
            <w:pPr>
              <w:jc w:val="center"/>
              <w:rPr>
                <w:rFonts w:hint="default" w:ascii="Times New Roman" w:hAnsi="Times New Roman" w:cs="Times New Roman" w:eastAsiaTheme="minorEastAsia"/>
                <w:szCs w:val="21"/>
                <w:lang w:eastAsia="zh-CN"/>
              </w:rPr>
            </w:pPr>
            <w:r>
              <w:rPr>
                <w:rFonts w:hint="default" w:ascii="Times New Roman" w:hAnsi="Times New Roman" w:cs="Times New Roman" w:eastAsiaTheme="minorEastAsia"/>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29" w:type="dxa"/>
            <w:vMerge w:val="continue"/>
            <w:vAlign w:val="center"/>
          </w:tcPr>
          <w:p>
            <w:pPr>
              <w:jc w:val="center"/>
              <w:rPr>
                <w:rFonts w:hint="default" w:ascii="Times New Roman" w:hAnsi="Times New Roman" w:eastAsia="仿宋_GB2312" w:cs="Times New Roman"/>
                <w:sz w:val="24"/>
              </w:rPr>
            </w:pPr>
          </w:p>
        </w:tc>
        <w:tc>
          <w:tcPr>
            <w:tcW w:w="1541" w:type="dxa"/>
            <w:gridSpan w:val="2"/>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林地</w:t>
            </w:r>
          </w:p>
        </w:tc>
        <w:tc>
          <w:tcPr>
            <w:tcW w:w="1124" w:type="dxa"/>
            <w:vAlign w:val="center"/>
          </w:tcPr>
          <w:p>
            <w:pPr>
              <w:jc w:val="center"/>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0</w:t>
            </w:r>
          </w:p>
        </w:tc>
        <w:tc>
          <w:tcPr>
            <w:tcW w:w="992" w:type="dxa"/>
            <w:vAlign w:val="center"/>
          </w:tcPr>
          <w:p>
            <w:pPr>
              <w:jc w:val="center"/>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120</w:t>
            </w:r>
          </w:p>
        </w:tc>
        <w:tc>
          <w:tcPr>
            <w:tcW w:w="1163" w:type="dxa"/>
            <w:vAlign w:val="center"/>
          </w:tcPr>
          <w:p>
            <w:pPr>
              <w:jc w:val="center"/>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0</w:t>
            </w:r>
          </w:p>
        </w:tc>
        <w:tc>
          <w:tcPr>
            <w:tcW w:w="994" w:type="dxa"/>
            <w:vAlign w:val="center"/>
          </w:tcPr>
          <w:p>
            <w:pPr>
              <w:jc w:val="center"/>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120</w:t>
            </w:r>
          </w:p>
        </w:tc>
        <w:tc>
          <w:tcPr>
            <w:tcW w:w="1103" w:type="dxa"/>
            <w:vAlign w:val="center"/>
          </w:tcPr>
          <w:p>
            <w:pPr>
              <w:jc w:val="center"/>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0</w:t>
            </w:r>
          </w:p>
        </w:tc>
        <w:tc>
          <w:tcPr>
            <w:tcW w:w="1409" w:type="dxa"/>
            <w:vAlign w:val="center"/>
          </w:tcPr>
          <w:p>
            <w:pPr>
              <w:jc w:val="center"/>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29" w:type="dxa"/>
            <w:vMerge w:val="continue"/>
            <w:vAlign w:val="center"/>
          </w:tcPr>
          <w:p>
            <w:pPr>
              <w:jc w:val="center"/>
              <w:rPr>
                <w:rFonts w:hint="default" w:ascii="Times New Roman" w:hAnsi="Times New Roman" w:eastAsia="仿宋_GB2312" w:cs="Times New Roman"/>
                <w:sz w:val="24"/>
              </w:rPr>
            </w:pPr>
          </w:p>
        </w:tc>
        <w:tc>
          <w:tcPr>
            <w:tcW w:w="1541" w:type="dxa"/>
            <w:gridSpan w:val="2"/>
            <w:vAlign w:val="center"/>
          </w:tcPr>
          <w:p>
            <w:pPr>
              <w:jc w:val="center"/>
              <w:rPr>
                <w:rFonts w:hint="eastAsia" w:ascii="Times New Roman" w:hAnsi="Times New Roman" w:eastAsia="仿宋_GB2312" w:cs="Times New Roman"/>
                <w:sz w:val="24"/>
                <w:lang w:val="en-US" w:eastAsia="zh-CN"/>
              </w:rPr>
            </w:pPr>
            <w:r>
              <w:rPr>
                <w:rFonts w:hint="eastAsia" w:eastAsia="仿宋_GB2312" w:cs="Times New Roman"/>
                <w:sz w:val="24"/>
                <w:lang w:val="en-US" w:eastAsia="zh-CN"/>
              </w:rPr>
              <w:t>草地</w:t>
            </w:r>
          </w:p>
        </w:tc>
        <w:tc>
          <w:tcPr>
            <w:tcW w:w="1124" w:type="dxa"/>
            <w:vAlign w:val="center"/>
          </w:tcPr>
          <w:p>
            <w:pPr>
              <w:jc w:val="center"/>
              <w:rPr>
                <w:rFonts w:hint="eastAsia" w:ascii="Times New Roman" w:hAnsi="Times New Roman" w:cs="Times New Roman" w:eastAsiaTheme="minorEastAsia"/>
                <w:szCs w:val="21"/>
                <w:lang w:val="en-US" w:eastAsia="zh-CN"/>
              </w:rPr>
            </w:pPr>
            <w:r>
              <w:rPr>
                <w:rFonts w:hint="eastAsia" w:cs="Times New Roman" w:eastAsiaTheme="minorEastAsia"/>
                <w:szCs w:val="21"/>
                <w:lang w:val="en-US" w:eastAsia="zh-CN"/>
              </w:rPr>
              <w:t>0</w:t>
            </w:r>
          </w:p>
        </w:tc>
        <w:tc>
          <w:tcPr>
            <w:tcW w:w="992" w:type="dxa"/>
            <w:vAlign w:val="center"/>
          </w:tcPr>
          <w:p>
            <w:pPr>
              <w:jc w:val="center"/>
              <w:rPr>
                <w:rFonts w:hint="default" w:ascii="Times New Roman" w:hAnsi="Times New Roman" w:cs="Times New Roman" w:eastAsiaTheme="minorEastAsia"/>
                <w:szCs w:val="21"/>
                <w:lang w:val="en-US" w:eastAsia="zh-CN"/>
              </w:rPr>
            </w:pPr>
            <w:r>
              <w:rPr>
                <w:rFonts w:hint="eastAsia" w:cs="Times New Roman" w:eastAsiaTheme="minorEastAsia"/>
                <w:szCs w:val="21"/>
                <w:lang w:val="en-US" w:eastAsia="zh-CN"/>
              </w:rPr>
              <w:t>120</w:t>
            </w:r>
          </w:p>
        </w:tc>
        <w:tc>
          <w:tcPr>
            <w:tcW w:w="1163" w:type="dxa"/>
            <w:vAlign w:val="center"/>
          </w:tcPr>
          <w:p>
            <w:pPr>
              <w:jc w:val="center"/>
              <w:rPr>
                <w:rFonts w:hint="eastAsia" w:ascii="Times New Roman" w:hAnsi="Times New Roman" w:cs="Times New Roman" w:eastAsiaTheme="minorEastAsia"/>
                <w:szCs w:val="21"/>
                <w:lang w:val="en-US" w:eastAsia="zh-CN"/>
              </w:rPr>
            </w:pPr>
            <w:r>
              <w:rPr>
                <w:rFonts w:hint="eastAsia" w:cs="Times New Roman" w:eastAsiaTheme="minorEastAsia"/>
                <w:szCs w:val="21"/>
                <w:lang w:val="en-US" w:eastAsia="zh-CN"/>
              </w:rPr>
              <w:t>0</w:t>
            </w:r>
          </w:p>
        </w:tc>
        <w:tc>
          <w:tcPr>
            <w:tcW w:w="994" w:type="dxa"/>
            <w:vAlign w:val="center"/>
          </w:tcPr>
          <w:p>
            <w:pPr>
              <w:jc w:val="center"/>
              <w:rPr>
                <w:rFonts w:hint="default" w:ascii="Times New Roman" w:hAnsi="Times New Roman" w:cs="Times New Roman" w:eastAsiaTheme="minorEastAsia"/>
                <w:szCs w:val="21"/>
                <w:lang w:val="en-US" w:eastAsia="zh-CN"/>
              </w:rPr>
            </w:pPr>
            <w:r>
              <w:rPr>
                <w:rFonts w:hint="eastAsia" w:cs="Times New Roman" w:eastAsiaTheme="minorEastAsia"/>
                <w:szCs w:val="21"/>
                <w:lang w:val="en-US" w:eastAsia="zh-CN"/>
              </w:rPr>
              <w:t>120</w:t>
            </w:r>
          </w:p>
        </w:tc>
        <w:tc>
          <w:tcPr>
            <w:tcW w:w="1103" w:type="dxa"/>
            <w:vAlign w:val="center"/>
          </w:tcPr>
          <w:p>
            <w:pPr>
              <w:jc w:val="center"/>
              <w:rPr>
                <w:rFonts w:hint="eastAsia" w:ascii="Times New Roman" w:hAnsi="Times New Roman" w:cs="Times New Roman" w:eastAsiaTheme="minorEastAsia"/>
                <w:szCs w:val="21"/>
                <w:lang w:val="en-US" w:eastAsia="zh-CN"/>
              </w:rPr>
            </w:pPr>
            <w:r>
              <w:rPr>
                <w:rFonts w:hint="eastAsia" w:cs="Times New Roman" w:eastAsiaTheme="minorEastAsia"/>
                <w:szCs w:val="21"/>
                <w:lang w:val="en-US" w:eastAsia="zh-CN"/>
              </w:rPr>
              <w:t>0</w:t>
            </w:r>
          </w:p>
        </w:tc>
        <w:tc>
          <w:tcPr>
            <w:tcW w:w="1409" w:type="dxa"/>
            <w:vAlign w:val="center"/>
          </w:tcPr>
          <w:p>
            <w:pPr>
              <w:jc w:val="center"/>
              <w:rPr>
                <w:rFonts w:hint="eastAsia" w:ascii="Times New Roman" w:hAnsi="Times New Roman" w:cs="Times New Roman" w:eastAsiaTheme="minorEastAsia"/>
                <w:szCs w:val="21"/>
                <w:lang w:val="en-US" w:eastAsia="zh-CN"/>
              </w:rPr>
            </w:pPr>
            <w:r>
              <w:rPr>
                <w:rFonts w:hint="eastAsia" w:cs="Times New Roman" w:eastAsiaTheme="minorEastAsia"/>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29" w:type="dxa"/>
            <w:vMerge w:val="continue"/>
            <w:vAlign w:val="center"/>
          </w:tcPr>
          <w:p>
            <w:pPr>
              <w:jc w:val="center"/>
              <w:rPr>
                <w:rFonts w:hint="default" w:ascii="Times New Roman" w:hAnsi="Times New Roman" w:eastAsia="仿宋_GB2312" w:cs="Times New Roman"/>
                <w:sz w:val="24"/>
              </w:rPr>
            </w:pPr>
          </w:p>
        </w:tc>
        <w:tc>
          <w:tcPr>
            <w:tcW w:w="1541" w:type="dxa"/>
            <w:gridSpan w:val="2"/>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其他农用地</w:t>
            </w:r>
          </w:p>
        </w:tc>
        <w:tc>
          <w:tcPr>
            <w:tcW w:w="1124" w:type="dxa"/>
            <w:vAlign w:val="center"/>
          </w:tcPr>
          <w:p>
            <w:pPr>
              <w:jc w:val="center"/>
              <w:rPr>
                <w:rFonts w:hint="default" w:ascii="Times New Roman" w:hAnsi="Times New Roman" w:cs="Times New Roman" w:eastAsiaTheme="minorEastAsia"/>
                <w:szCs w:val="21"/>
                <w:lang w:eastAsia="zh-CN"/>
              </w:rPr>
            </w:pPr>
            <w:r>
              <w:rPr>
                <w:rFonts w:hint="default" w:ascii="Times New Roman" w:hAnsi="Times New Roman" w:cs="Times New Roman" w:eastAsiaTheme="minorEastAsia"/>
                <w:szCs w:val="21"/>
                <w:lang w:val="en-US" w:eastAsia="zh-CN"/>
              </w:rPr>
              <w:t>5.2442</w:t>
            </w:r>
          </w:p>
        </w:tc>
        <w:tc>
          <w:tcPr>
            <w:tcW w:w="992" w:type="dxa"/>
            <w:vAlign w:val="center"/>
          </w:tcPr>
          <w:p>
            <w:pPr>
              <w:jc w:val="center"/>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120</w:t>
            </w:r>
          </w:p>
        </w:tc>
        <w:tc>
          <w:tcPr>
            <w:tcW w:w="1163" w:type="dxa"/>
            <w:vAlign w:val="center"/>
          </w:tcPr>
          <w:p>
            <w:pPr>
              <w:jc w:val="center"/>
              <w:rPr>
                <w:rFonts w:hint="eastAsia" w:ascii="Times New Roman" w:hAnsi="Times New Roman" w:eastAsia="宋体" w:cs="Times New Roman"/>
                <w:szCs w:val="21"/>
                <w:lang w:val="en-US" w:eastAsia="zh-CN"/>
              </w:rPr>
            </w:pPr>
            <w:r>
              <w:rPr>
                <w:rFonts w:hint="eastAsia"/>
              </w:rPr>
              <w:t>629.304</w:t>
            </w:r>
            <w:r>
              <w:rPr>
                <w:rFonts w:hint="eastAsia"/>
                <w:lang w:val="en-US" w:eastAsia="zh-CN"/>
              </w:rPr>
              <w:t>0</w:t>
            </w:r>
          </w:p>
        </w:tc>
        <w:tc>
          <w:tcPr>
            <w:tcW w:w="994" w:type="dxa"/>
            <w:tcBorders>
              <w:bottom w:val="single" w:color="auto" w:sz="4" w:space="0"/>
            </w:tcBorders>
            <w:vAlign w:val="center"/>
          </w:tcPr>
          <w:p>
            <w:pPr>
              <w:jc w:val="center"/>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120</w:t>
            </w:r>
          </w:p>
        </w:tc>
        <w:tc>
          <w:tcPr>
            <w:tcW w:w="1103" w:type="dxa"/>
            <w:tcBorders>
              <w:bottom w:val="single" w:color="auto" w:sz="4" w:space="0"/>
            </w:tcBorders>
            <w:vAlign w:val="center"/>
          </w:tcPr>
          <w:p>
            <w:pPr>
              <w:jc w:val="center"/>
              <w:rPr>
                <w:rFonts w:hint="eastAsia" w:ascii="Times New Roman" w:hAnsi="Times New Roman" w:eastAsia="宋体" w:cs="Times New Roman"/>
                <w:szCs w:val="21"/>
                <w:lang w:val="en-US" w:eastAsia="zh-CN"/>
              </w:rPr>
            </w:pPr>
            <w:r>
              <w:rPr>
                <w:rFonts w:hint="eastAsia"/>
              </w:rPr>
              <w:t>629.304</w:t>
            </w:r>
            <w:r>
              <w:rPr>
                <w:rFonts w:hint="eastAsia"/>
                <w:lang w:val="en-US" w:eastAsia="zh-CN"/>
              </w:rPr>
              <w:t>0</w:t>
            </w:r>
          </w:p>
        </w:tc>
        <w:tc>
          <w:tcPr>
            <w:tcW w:w="1409" w:type="dxa"/>
            <w:vAlign w:val="center"/>
          </w:tcPr>
          <w:p>
            <w:pPr>
              <w:jc w:val="center"/>
              <w:rPr>
                <w:rFonts w:hint="eastAsia" w:ascii="Times New Roman" w:hAnsi="Times New Roman" w:eastAsia="宋体" w:cs="Times New Roman"/>
                <w:szCs w:val="21"/>
                <w:lang w:val="en-US" w:eastAsia="zh-CN"/>
              </w:rPr>
            </w:pPr>
            <w:r>
              <w:rPr>
                <w:rFonts w:hint="eastAsia"/>
              </w:rPr>
              <w:t>1258.608</w:t>
            </w:r>
            <w:r>
              <w:rPr>
                <w:rFonts w:hint="eastAsia"/>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29" w:type="dxa"/>
            <w:vMerge w:val="continue"/>
            <w:vAlign w:val="center"/>
          </w:tcPr>
          <w:p>
            <w:pPr>
              <w:jc w:val="center"/>
              <w:rPr>
                <w:rFonts w:hint="default" w:ascii="Times New Roman" w:hAnsi="Times New Roman" w:eastAsia="仿宋_GB2312" w:cs="Times New Roman"/>
                <w:sz w:val="24"/>
              </w:rPr>
            </w:pPr>
          </w:p>
        </w:tc>
        <w:tc>
          <w:tcPr>
            <w:tcW w:w="1541" w:type="dxa"/>
            <w:gridSpan w:val="2"/>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建设用地</w:t>
            </w:r>
          </w:p>
        </w:tc>
        <w:tc>
          <w:tcPr>
            <w:tcW w:w="1124" w:type="dxa"/>
            <w:vAlign w:val="center"/>
          </w:tcPr>
          <w:p>
            <w:pPr>
              <w:jc w:val="center"/>
              <w:rPr>
                <w:rFonts w:hint="default" w:ascii="Times New Roman" w:hAnsi="Times New Roman" w:cs="Times New Roman" w:eastAsiaTheme="minorEastAsia"/>
                <w:szCs w:val="21"/>
                <w:lang w:val="en-US" w:eastAsia="zh-CN"/>
              </w:rPr>
            </w:pPr>
            <w:r>
              <w:rPr>
                <w:rFonts w:hint="eastAsia" w:cs="Times New Roman" w:eastAsiaTheme="minorEastAsia"/>
                <w:szCs w:val="21"/>
                <w:lang w:val="en-US" w:eastAsia="zh-CN"/>
              </w:rPr>
              <w:t>2.6868</w:t>
            </w:r>
          </w:p>
        </w:tc>
        <w:tc>
          <w:tcPr>
            <w:tcW w:w="992" w:type="dxa"/>
            <w:vAlign w:val="center"/>
          </w:tcPr>
          <w:p>
            <w:pPr>
              <w:jc w:val="center"/>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240</w:t>
            </w:r>
          </w:p>
        </w:tc>
        <w:tc>
          <w:tcPr>
            <w:tcW w:w="1163" w:type="dxa"/>
            <w:vAlign w:val="center"/>
          </w:tcPr>
          <w:p>
            <w:pPr>
              <w:jc w:val="center"/>
              <w:rPr>
                <w:rFonts w:hint="eastAsia" w:ascii="Times New Roman" w:hAnsi="Times New Roman" w:eastAsia="宋体" w:cs="Times New Roman"/>
                <w:szCs w:val="21"/>
                <w:lang w:val="en-US" w:eastAsia="zh-CN"/>
              </w:rPr>
            </w:pPr>
            <w:r>
              <w:rPr>
                <w:rFonts w:hint="eastAsia"/>
              </w:rPr>
              <w:t>644.832</w:t>
            </w:r>
            <w:r>
              <w:rPr>
                <w:rFonts w:hint="eastAsia"/>
                <w:lang w:val="en-US" w:eastAsia="zh-CN"/>
              </w:rPr>
              <w:t>0</w:t>
            </w:r>
          </w:p>
        </w:tc>
        <w:tc>
          <w:tcPr>
            <w:tcW w:w="994" w:type="dxa"/>
            <w:tcBorders>
              <w:bottom w:val="single" w:color="auto" w:sz="4" w:space="0"/>
              <w:tl2br w:val="single" w:color="auto" w:sz="4" w:space="0"/>
              <w:tr2bl w:val="nil"/>
            </w:tcBorders>
            <w:vAlign w:val="center"/>
          </w:tcPr>
          <w:p>
            <w:pPr>
              <w:jc w:val="center"/>
              <w:rPr>
                <w:rFonts w:hint="default" w:ascii="Times New Roman" w:hAnsi="Times New Roman" w:cs="Times New Roman" w:eastAsiaTheme="minorEastAsia"/>
                <w:szCs w:val="21"/>
              </w:rPr>
            </w:pPr>
          </w:p>
        </w:tc>
        <w:tc>
          <w:tcPr>
            <w:tcW w:w="1103" w:type="dxa"/>
            <w:tcBorders>
              <w:bottom w:val="single" w:color="auto" w:sz="4" w:space="0"/>
              <w:tl2br w:val="single" w:color="auto" w:sz="4" w:space="0"/>
              <w:tr2bl w:val="nil"/>
            </w:tcBorders>
            <w:vAlign w:val="center"/>
          </w:tcPr>
          <w:p>
            <w:pPr>
              <w:jc w:val="center"/>
              <w:rPr>
                <w:rFonts w:hint="default" w:ascii="Times New Roman" w:hAnsi="Times New Roman" w:cs="Times New Roman" w:eastAsiaTheme="minorEastAsia"/>
                <w:szCs w:val="21"/>
              </w:rPr>
            </w:pPr>
          </w:p>
        </w:tc>
        <w:tc>
          <w:tcPr>
            <w:tcW w:w="1409" w:type="dxa"/>
            <w:vAlign w:val="center"/>
          </w:tcPr>
          <w:p>
            <w:pPr>
              <w:jc w:val="center"/>
              <w:rPr>
                <w:rFonts w:hint="eastAsia" w:ascii="Times New Roman" w:hAnsi="Times New Roman" w:eastAsia="宋体" w:cs="Times New Roman"/>
                <w:szCs w:val="21"/>
                <w:lang w:val="en-US" w:eastAsia="zh-CN"/>
              </w:rPr>
            </w:pPr>
            <w:r>
              <w:rPr>
                <w:rFonts w:hint="eastAsia"/>
              </w:rPr>
              <w:t>644.832</w:t>
            </w:r>
            <w:r>
              <w:rPr>
                <w:rFonts w:hint="eastAsia"/>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29" w:type="dxa"/>
            <w:vMerge w:val="continue"/>
            <w:vAlign w:val="center"/>
          </w:tcPr>
          <w:p>
            <w:pPr>
              <w:jc w:val="center"/>
              <w:rPr>
                <w:rFonts w:hint="default" w:ascii="Times New Roman" w:hAnsi="Times New Roman" w:eastAsia="仿宋_GB2312" w:cs="Times New Roman"/>
                <w:sz w:val="24"/>
              </w:rPr>
            </w:pPr>
          </w:p>
        </w:tc>
        <w:tc>
          <w:tcPr>
            <w:tcW w:w="1541" w:type="dxa"/>
            <w:gridSpan w:val="2"/>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未利用地</w:t>
            </w:r>
          </w:p>
        </w:tc>
        <w:tc>
          <w:tcPr>
            <w:tcW w:w="1124" w:type="dxa"/>
            <w:vAlign w:val="center"/>
          </w:tcPr>
          <w:p>
            <w:pPr>
              <w:jc w:val="center"/>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0</w:t>
            </w:r>
          </w:p>
        </w:tc>
        <w:tc>
          <w:tcPr>
            <w:tcW w:w="992" w:type="dxa"/>
            <w:vAlign w:val="center"/>
          </w:tcPr>
          <w:p>
            <w:pPr>
              <w:jc w:val="center"/>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240</w:t>
            </w:r>
          </w:p>
        </w:tc>
        <w:tc>
          <w:tcPr>
            <w:tcW w:w="1163" w:type="dxa"/>
            <w:vAlign w:val="center"/>
          </w:tcPr>
          <w:p>
            <w:pPr>
              <w:jc w:val="center"/>
              <w:rPr>
                <w:rFonts w:hint="default" w:ascii="Times New Roman" w:hAnsi="Times New Roman" w:cs="Times New Roman" w:eastAsiaTheme="minorEastAsia"/>
                <w:szCs w:val="21"/>
                <w:lang w:eastAsia="zh-CN"/>
              </w:rPr>
            </w:pPr>
            <w:r>
              <w:rPr>
                <w:rFonts w:hint="default" w:ascii="Times New Roman" w:hAnsi="Times New Roman" w:cs="Times New Roman" w:eastAsiaTheme="minorEastAsia"/>
                <w:szCs w:val="21"/>
                <w:lang w:val="en-US" w:eastAsia="zh-CN"/>
              </w:rPr>
              <w:t>0</w:t>
            </w:r>
          </w:p>
        </w:tc>
        <w:tc>
          <w:tcPr>
            <w:tcW w:w="994" w:type="dxa"/>
            <w:tcBorders>
              <w:tl2br w:val="single" w:color="auto" w:sz="4" w:space="0"/>
              <w:tr2bl w:val="nil"/>
            </w:tcBorders>
            <w:vAlign w:val="center"/>
          </w:tcPr>
          <w:p>
            <w:pPr>
              <w:jc w:val="center"/>
              <w:rPr>
                <w:rFonts w:hint="default" w:ascii="Times New Roman" w:hAnsi="Times New Roman" w:cs="Times New Roman" w:eastAsiaTheme="minorEastAsia"/>
                <w:szCs w:val="21"/>
              </w:rPr>
            </w:pPr>
          </w:p>
        </w:tc>
        <w:tc>
          <w:tcPr>
            <w:tcW w:w="1103" w:type="dxa"/>
            <w:tcBorders>
              <w:tl2br w:val="single" w:color="auto" w:sz="4" w:space="0"/>
              <w:tr2bl w:val="nil"/>
            </w:tcBorders>
            <w:vAlign w:val="center"/>
          </w:tcPr>
          <w:p>
            <w:pPr>
              <w:jc w:val="center"/>
              <w:rPr>
                <w:rFonts w:hint="default" w:ascii="Times New Roman" w:hAnsi="Times New Roman" w:cs="Times New Roman" w:eastAsiaTheme="minorEastAsia"/>
                <w:szCs w:val="21"/>
              </w:rPr>
            </w:pPr>
          </w:p>
        </w:tc>
        <w:tc>
          <w:tcPr>
            <w:tcW w:w="1409" w:type="dxa"/>
            <w:vAlign w:val="center"/>
          </w:tcPr>
          <w:p>
            <w:pPr>
              <w:jc w:val="center"/>
              <w:rPr>
                <w:rFonts w:hint="default" w:ascii="Times New Roman" w:hAnsi="Times New Roman" w:cs="Times New Roman" w:eastAsiaTheme="minorEastAsia"/>
                <w:szCs w:val="21"/>
                <w:lang w:eastAsia="zh-CN"/>
              </w:rPr>
            </w:pPr>
            <w:r>
              <w:rPr>
                <w:rFonts w:hint="default" w:ascii="Times New Roman" w:hAnsi="Times New Roman" w:cs="Times New Roman" w:eastAsiaTheme="minorEastAsia"/>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29" w:type="dxa"/>
            <w:vMerge w:val="continue"/>
            <w:vAlign w:val="center"/>
          </w:tcPr>
          <w:p>
            <w:pPr>
              <w:jc w:val="center"/>
              <w:rPr>
                <w:rFonts w:hint="default" w:ascii="Times New Roman" w:hAnsi="Times New Roman" w:eastAsia="仿宋_GB2312" w:cs="Times New Roman"/>
                <w:sz w:val="24"/>
              </w:rPr>
            </w:pPr>
          </w:p>
        </w:tc>
        <w:tc>
          <w:tcPr>
            <w:tcW w:w="6917" w:type="dxa"/>
            <w:gridSpan w:val="7"/>
            <w:vAlign w:val="center"/>
          </w:tcPr>
          <w:p>
            <w:pPr>
              <w:jc w:val="center"/>
              <w:rPr>
                <w:rFonts w:hint="default" w:ascii="Times New Roman" w:hAnsi="Times New Roman" w:cs="Times New Roman" w:eastAsiaTheme="minorEastAsia"/>
                <w:szCs w:val="21"/>
              </w:rPr>
            </w:pPr>
            <w:r>
              <w:rPr>
                <w:rFonts w:hint="default" w:ascii="Times New Roman" w:hAnsi="Times New Roman" w:eastAsia="仿宋_GB2312" w:cs="Times New Roman"/>
                <w:sz w:val="24"/>
              </w:rPr>
              <w:t>土地补偿费与安置补助费合计</w:t>
            </w:r>
          </w:p>
        </w:tc>
        <w:tc>
          <w:tcPr>
            <w:tcW w:w="1409" w:type="dxa"/>
            <w:vAlign w:val="center"/>
          </w:tcPr>
          <w:p>
            <w:pPr>
              <w:jc w:val="center"/>
              <w:rPr>
                <w:rFonts w:hint="default" w:ascii="Times New Roman" w:hAnsi="Times New Roman" w:cs="Times New Roman" w:eastAsiaTheme="minorEastAsia"/>
                <w:szCs w:val="21"/>
                <w:lang w:val="en-US" w:eastAsia="zh-CN"/>
              </w:rPr>
            </w:pPr>
            <w:r>
              <w:rPr>
                <w:rFonts w:hint="eastAsia"/>
              </w:rPr>
              <w:t>1952.904</w:t>
            </w:r>
          </w:p>
        </w:tc>
      </w:tr>
    </w:tbl>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备注：因被征收土地的现状调查数据变化导致补偿金额调整的</w:t>
      </w:r>
      <w:r>
        <w:rPr>
          <w:rFonts w:hint="default" w:ascii="Times New Roman" w:hAnsi="Times New Roman" w:eastAsia="仿宋_GB2312" w:cs="Times New Roman"/>
          <w:sz w:val="32"/>
          <w:lang w:eastAsia="zh-CN"/>
        </w:rPr>
        <w:t>，</w:t>
      </w:r>
      <w:r>
        <w:rPr>
          <w:rFonts w:hint="default" w:ascii="Times New Roman" w:hAnsi="Times New Roman" w:eastAsia="仿宋_GB2312" w:cs="Times New Roman"/>
          <w:sz w:val="32"/>
        </w:rPr>
        <w:t>在支付补偿款时重新计算补偿金额并作出差额补足。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二）青苗补偿费及地上附着物补偿费。征地范围内的青苗补偿费及地上附着物补偿费等其他补偿费用按《广州市花都区人民政府办公室印发花都区征地包干补偿工作方案的通知》(花府办〔2016〕12号）等有关规定进行补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三）农业人口安置。本次征收土地所涉及的被安置农业人员由被征地村以货币补偿的形式安置。征地批复后，由被征地农村集体经济组织在征地公告期内到广州市规划和自然资源局花都区分局领取办理安置农业人口征地农转非手续的函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rPr>
      </w:pPr>
      <w:r>
        <w:rPr>
          <w:rFonts w:hint="default" w:ascii="Times New Roman" w:hAnsi="Times New Roman" w:eastAsia="黑体" w:cs="Times New Roman"/>
          <w:sz w:val="32"/>
        </w:rPr>
        <w:t>三、安置措施情况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为妥善安置被征地农民，切实解决被征地农民的生产生活出路。在保证货币安置落实的同时，我区根据</w:t>
      </w:r>
      <w:r>
        <w:rPr>
          <w:rFonts w:hint="default" w:ascii="Times New Roman" w:hAnsi="Times New Roman" w:eastAsia="仿宋_GB2312" w:cs="Times New Roman"/>
          <w:sz w:val="32"/>
          <w:lang w:val="en-US" w:eastAsia="zh-CN"/>
        </w:rPr>
        <w:t>《印发广东省征收农村集体土地留用地管理办法（试行）的通知》（粤府办〔2009〕41号）、《广东省人民政府办公厅关于加强征收农村集体土地留用地安置管理工作的意见》（粤府办〔2016〕30号）和《广州市人民政府办公厅关于进一步加强征收农村集体土地留用地管理的意见》（穗府办规〔2018〕17号）的规定</w:t>
      </w:r>
      <w:r>
        <w:rPr>
          <w:rFonts w:hint="default" w:ascii="Times New Roman" w:hAnsi="Times New Roman" w:eastAsia="仿宋_GB2312" w:cs="Times New Roman"/>
          <w:sz w:val="32"/>
        </w:rPr>
        <w:t>，留用地按实际征收土地面积</w:t>
      </w:r>
      <w:r>
        <w:rPr>
          <w:rFonts w:hint="default" w:ascii="Times New Roman" w:hAnsi="Times New Roman" w:eastAsia="仿宋_GB2312" w:cs="Times New Roman"/>
          <w:sz w:val="32"/>
          <w:lang w:val="en-US" w:eastAsia="zh-CN"/>
        </w:rPr>
        <w:t>7.3974公顷的</w:t>
      </w:r>
      <w:r>
        <w:rPr>
          <w:rFonts w:hint="default" w:ascii="Times New Roman" w:hAnsi="Times New Roman" w:eastAsia="仿宋_GB2312" w:cs="Times New Roman"/>
          <w:sz w:val="32"/>
        </w:rPr>
        <w:t>10%计算安排给被征地村集体</w:t>
      </w:r>
      <w:r>
        <w:rPr>
          <w:rFonts w:hint="default" w:ascii="Times New Roman" w:hAnsi="Times New Roman" w:eastAsia="仿宋_GB2312" w:cs="Times New Roman"/>
          <w:sz w:val="32"/>
          <w:lang w:eastAsia="zh-CN"/>
        </w:rPr>
        <w:t>，面积为</w:t>
      </w:r>
      <w:r>
        <w:rPr>
          <w:rFonts w:hint="default" w:ascii="Times New Roman" w:hAnsi="Times New Roman" w:eastAsia="仿宋_GB2312" w:cs="Times New Roman"/>
          <w:sz w:val="32"/>
          <w:lang w:val="en-US" w:eastAsia="zh-CN"/>
        </w:rPr>
        <w:t>0.7397公顷，</w:t>
      </w:r>
      <w:r>
        <w:rPr>
          <w:rFonts w:hint="default" w:ascii="Times New Roman" w:hAnsi="Times New Roman" w:eastAsia="仿宋_GB2312" w:cs="Times New Roman"/>
          <w:sz w:val="32"/>
        </w:rPr>
        <w:t>留用地兑现方式为实</w:t>
      </w:r>
      <w:r>
        <w:rPr>
          <w:rFonts w:hint="default" w:ascii="Times New Roman" w:hAnsi="Times New Roman" w:eastAsia="仿宋_GB2312" w:cs="Times New Roman"/>
          <w:sz w:val="32"/>
          <w:lang w:eastAsia="zh-CN"/>
        </w:rPr>
        <w:t>物</w:t>
      </w:r>
      <w:r>
        <w:rPr>
          <w:rFonts w:hint="default" w:ascii="Times New Roman" w:hAnsi="Times New Roman" w:eastAsia="仿宋_GB2312" w:cs="Times New Roman"/>
          <w:sz w:val="32"/>
        </w:rPr>
        <w:t>留地，拟在</w:t>
      </w:r>
      <w:r>
        <w:rPr>
          <w:rFonts w:hint="default" w:ascii="Times New Roman" w:hAnsi="Times New Roman" w:eastAsia="仿宋_GB2312" w:cs="Times New Roman"/>
          <w:sz w:val="32"/>
          <w:lang w:val="en-US" w:eastAsia="zh-CN"/>
        </w:rPr>
        <w:t>本项目地块内落实，同步完成用地报批手续</w:t>
      </w:r>
      <w:r>
        <w:rPr>
          <w:rFonts w:hint="default" w:ascii="Times New Roman" w:hAnsi="Times New Roman" w:eastAsia="仿宋_GB2312" w:cs="Times New Roman"/>
          <w:sz w:val="32"/>
        </w:rPr>
        <w:t>；给上述被征地农民落实基本养老保障和培训就业等社会保障措施，确保被征地农民的原有生活水平不降低，长远生计有保障，具体将按省的征地社会保障实施方案办理。</w:t>
      </w:r>
    </w:p>
    <w:p>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广州市规划和自然资源局花都区分局</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202</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lang w:val="en-US" w:eastAsia="zh-CN"/>
        </w:rPr>
        <w:t>9</w:t>
      </w:r>
      <w:r>
        <w:rPr>
          <w:rFonts w:hint="default" w:ascii="Times New Roman" w:hAnsi="Times New Roman" w:eastAsia="仿宋_GB2312" w:cs="Times New Roman"/>
          <w:sz w:val="32"/>
          <w:szCs w:val="32"/>
        </w:rPr>
        <w:t>月</w:t>
      </w:r>
      <w:r>
        <w:rPr>
          <w:rFonts w:hint="default" w:ascii="Times New Roman" w:hAnsi="Times New Roman" w:eastAsia="仿宋_GB2312" w:cs="Times New Roman"/>
          <w:sz w:val="32"/>
          <w:szCs w:val="32"/>
          <w:lang w:val="en-US" w:eastAsia="zh-CN"/>
        </w:rPr>
        <w:t>28</w:t>
      </w:r>
      <w:r>
        <w:rPr>
          <w:rFonts w:hint="default" w:ascii="Times New Roman" w:hAnsi="Times New Roman" w:eastAsia="仿宋_GB2312" w:cs="Times New Roman"/>
          <w:sz w:val="32"/>
          <w:szCs w:val="32"/>
        </w:rPr>
        <w:t>日</w:t>
      </w:r>
    </w:p>
    <w:sectPr>
      <w:headerReference r:id="rId3" w:type="default"/>
      <w:pgSz w:w="11906" w:h="16838"/>
      <w:pgMar w:top="1588" w:right="1474" w:bottom="1644" w:left="1418" w:header="851" w:footer="992" w:gutter="0"/>
      <w:cols w:space="720" w:num="1"/>
      <w:docGrid w:type="lines" w:linePitch="32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B46AF0"/>
    <w:multiLevelType w:val="singleLevel"/>
    <w:tmpl w:val="91B46AF0"/>
    <w:lvl w:ilvl="0" w:tentative="0">
      <w:start w:val="2"/>
      <w:numFmt w:val="chineseCounting"/>
      <w:suff w:val="nothing"/>
      <w:lvlText w:val="%1、"/>
      <w:lvlJc w:val="left"/>
      <w:rPr>
        <w:rFonts w:hint="eastAsia"/>
      </w:rPr>
    </w:lvl>
  </w:abstractNum>
  <w:abstractNum w:abstractNumId="1">
    <w:nsid w:val="CF787ED3"/>
    <w:multiLevelType w:val="singleLevel"/>
    <w:tmpl w:val="CF787ED3"/>
    <w:lvl w:ilvl="0" w:tentative="0">
      <w:start w:val="1"/>
      <w:numFmt w:val="chineseCounting"/>
      <w:suff w:val="nothing"/>
      <w:lvlText w:val="（%1）"/>
      <w:lvlJc w:val="left"/>
      <w:pPr>
        <w:ind w:left="640" w:leftChars="0" w:firstLine="0" w:firstLineChars="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64"/>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158F3"/>
    <w:rsid w:val="000259EC"/>
    <w:rsid w:val="00046479"/>
    <w:rsid w:val="00083A9C"/>
    <w:rsid w:val="00094904"/>
    <w:rsid w:val="000B61A4"/>
    <w:rsid w:val="000C26E7"/>
    <w:rsid w:val="000C7A2F"/>
    <w:rsid w:val="00104D4A"/>
    <w:rsid w:val="00121551"/>
    <w:rsid w:val="00127188"/>
    <w:rsid w:val="0013451A"/>
    <w:rsid w:val="00143A6E"/>
    <w:rsid w:val="0015151A"/>
    <w:rsid w:val="00151ED8"/>
    <w:rsid w:val="00155629"/>
    <w:rsid w:val="00157041"/>
    <w:rsid w:val="00170253"/>
    <w:rsid w:val="00172A27"/>
    <w:rsid w:val="001823A7"/>
    <w:rsid w:val="001A443F"/>
    <w:rsid w:val="001B19A8"/>
    <w:rsid w:val="001D39AE"/>
    <w:rsid w:val="001D74FB"/>
    <w:rsid w:val="001E275D"/>
    <w:rsid w:val="001E6030"/>
    <w:rsid w:val="001F2286"/>
    <w:rsid w:val="0020176A"/>
    <w:rsid w:val="002073CC"/>
    <w:rsid w:val="00213FB1"/>
    <w:rsid w:val="00217E18"/>
    <w:rsid w:val="002274E7"/>
    <w:rsid w:val="00252E5A"/>
    <w:rsid w:val="002B5A34"/>
    <w:rsid w:val="003036B6"/>
    <w:rsid w:val="0032241B"/>
    <w:rsid w:val="00342F85"/>
    <w:rsid w:val="003436C7"/>
    <w:rsid w:val="003746AC"/>
    <w:rsid w:val="0038304F"/>
    <w:rsid w:val="003956C6"/>
    <w:rsid w:val="003D0024"/>
    <w:rsid w:val="003D163F"/>
    <w:rsid w:val="003D281A"/>
    <w:rsid w:val="00411A1B"/>
    <w:rsid w:val="00413DAF"/>
    <w:rsid w:val="0042456A"/>
    <w:rsid w:val="0044713F"/>
    <w:rsid w:val="00451E1D"/>
    <w:rsid w:val="00454AC2"/>
    <w:rsid w:val="004630A4"/>
    <w:rsid w:val="00476A81"/>
    <w:rsid w:val="00483A85"/>
    <w:rsid w:val="0048686E"/>
    <w:rsid w:val="004A0D3F"/>
    <w:rsid w:val="004B6BFF"/>
    <w:rsid w:val="004B6E2C"/>
    <w:rsid w:val="004D09C3"/>
    <w:rsid w:val="004D1919"/>
    <w:rsid w:val="004F100B"/>
    <w:rsid w:val="004F2328"/>
    <w:rsid w:val="005111FD"/>
    <w:rsid w:val="00521569"/>
    <w:rsid w:val="00522EF4"/>
    <w:rsid w:val="005271AE"/>
    <w:rsid w:val="005357A0"/>
    <w:rsid w:val="00544378"/>
    <w:rsid w:val="00545540"/>
    <w:rsid w:val="005743FE"/>
    <w:rsid w:val="005A4E49"/>
    <w:rsid w:val="005B3C61"/>
    <w:rsid w:val="005C19AC"/>
    <w:rsid w:val="005E0A5C"/>
    <w:rsid w:val="005F1581"/>
    <w:rsid w:val="005F1E27"/>
    <w:rsid w:val="005F46A1"/>
    <w:rsid w:val="005F5334"/>
    <w:rsid w:val="006024FC"/>
    <w:rsid w:val="006035D8"/>
    <w:rsid w:val="0060619B"/>
    <w:rsid w:val="00610A4A"/>
    <w:rsid w:val="00615CAA"/>
    <w:rsid w:val="006162A6"/>
    <w:rsid w:val="00637EED"/>
    <w:rsid w:val="006438DE"/>
    <w:rsid w:val="00645839"/>
    <w:rsid w:val="00652B87"/>
    <w:rsid w:val="00654C53"/>
    <w:rsid w:val="00655693"/>
    <w:rsid w:val="00674925"/>
    <w:rsid w:val="00676018"/>
    <w:rsid w:val="00676536"/>
    <w:rsid w:val="0068659F"/>
    <w:rsid w:val="00686873"/>
    <w:rsid w:val="00697B46"/>
    <w:rsid w:val="006A5D68"/>
    <w:rsid w:val="006D27A4"/>
    <w:rsid w:val="006E0E61"/>
    <w:rsid w:val="006F5C51"/>
    <w:rsid w:val="006F6507"/>
    <w:rsid w:val="007029A2"/>
    <w:rsid w:val="00721F51"/>
    <w:rsid w:val="00734336"/>
    <w:rsid w:val="007368D4"/>
    <w:rsid w:val="007717E7"/>
    <w:rsid w:val="00772F21"/>
    <w:rsid w:val="00781008"/>
    <w:rsid w:val="007852FE"/>
    <w:rsid w:val="00793BB2"/>
    <w:rsid w:val="007E14C5"/>
    <w:rsid w:val="007F15EB"/>
    <w:rsid w:val="00833C90"/>
    <w:rsid w:val="00844234"/>
    <w:rsid w:val="0086311C"/>
    <w:rsid w:val="00886363"/>
    <w:rsid w:val="008B134A"/>
    <w:rsid w:val="008C44D6"/>
    <w:rsid w:val="008D2B89"/>
    <w:rsid w:val="008D5037"/>
    <w:rsid w:val="008D6365"/>
    <w:rsid w:val="008E023E"/>
    <w:rsid w:val="008F76F1"/>
    <w:rsid w:val="008F7950"/>
    <w:rsid w:val="00941381"/>
    <w:rsid w:val="009E0C1F"/>
    <w:rsid w:val="00A0133D"/>
    <w:rsid w:val="00A16C08"/>
    <w:rsid w:val="00A2173B"/>
    <w:rsid w:val="00A27BF0"/>
    <w:rsid w:val="00A30967"/>
    <w:rsid w:val="00A3416A"/>
    <w:rsid w:val="00A42845"/>
    <w:rsid w:val="00A50A5B"/>
    <w:rsid w:val="00A61726"/>
    <w:rsid w:val="00A71A09"/>
    <w:rsid w:val="00AA4AB7"/>
    <w:rsid w:val="00AA655F"/>
    <w:rsid w:val="00AB03B9"/>
    <w:rsid w:val="00AD2D84"/>
    <w:rsid w:val="00AE7EB6"/>
    <w:rsid w:val="00B103D3"/>
    <w:rsid w:val="00B136A7"/>
    <w:rsid w:val="00B245BF"/>
    <w:rsid w:val="00B3449F"/>
    <w:rsid w:val="00B475F4"/>
    <w:rsid w:val="00B53A0D"/>
    <w:rsid w:val="00B83780"/>
    <w:rsid w:val="00B84307"/>
    <w:rsid w:val="00B85200"/>
    <w:rsid w:val="00B9060C"/>
    <w:rsid w:val="00B96925"/>
    <w:rsid w:val="00BC56E0"/>
    <w:rsid w:val="00BC7F48"/>
    <w:rsid w:val="00BE7B0D"/>
    <w:rsid w:val="00BF60DE"/>
    <w:rsid w:val="00BF745D"/>
    <w:rsid w:val="00C128B0"/>
    <w:rsid w:val="00C1343F"/>
    <w:rsid w:val="00C34151"/>
    <w:rsid w:val="00C41E25"/>
    <w:rsid w:val="00C43BF5"/>
    <w:rsid w:val="00C52CC9"/>
    <w:rsid w:val="00C921A1"/>
    <w:rsid w:val="00C9338C"/>
    <w:rsid w:val="00CA0267"/>
    <w:rsid w:val="00CB5667"/>
    <w:rsid w:val="00CE3F2C"/>
    <w:rsid w:val="00CE7209"/>
    <w:rsid w:val="00CF5672"/>
    <w:rsid w:val="00CF7256"/>
    <w:rsid w:val="00D05CD6"/>
    <w:rsid w:val="00D17410"/>
    <w:rsid w:val="00D23ED9"/>
    <w:rsid w:val="00D56324"/>
    <w:rsid w:val="00D741E3"/>
    <w:rsid w:val="00D90775"/>
    <w:rsid w:val="00D91536"/>
    <w:rsid w:val="00D918FC"/>
    <w:rsid w:val="00DB78DD"/>
    <w:rsid w:val="00DD03E7"/>
    <w:rsid w:val="00E15F21"/>
    <w:rsid w:val="00E20365"/>
    <w:rsid w:val="00E35022"/>
    <w:rsid w:val="00E37310"/>
    <w:rsid w:val="00E44B2D"/>
    <w:rsid w:val="00E5270A"/>
    <w:rsid w:val="00E72163"/>
    <w:rsid w:val="00E84C41"/>
    <w:rsid w:val="00E95F11"/>
    <w:rsid w:val="00E962C5"/>
    <w:rsid w:val="00EA6195"/>
    <w:rsid w:val="00EC66ED"/>
    <w:rsid w:val="00ED2C7C"/>
    <w:rsid w:val="00ED41DB"/>
    <w:rsid w:val="00EE09F4"/>
    <w:rsid w:val="00EE43A2"/>
    <w:rsid w:val="00EE78EE"/>
    <w:rsid w:val="00F20D0F"/>
    <w:rsid w:val="00F244D5"/>
    <w:rsid w:val="00F35A4F"/>
    <w:rsid w:val="00F35D99"/>
    <w:rsid w:val="00F42F8F"/>
    <w:rsid w:val="00F47CC9"/>
    <w:rsid w:val="00F5072C"/>
    <w:rsid w:val="00F64688"/>
    <w:rsid w:val="00F650FD"/>
    <w:rsid w:val="00F66A72"/>
    <w:rsid w:val="00F76202"/>
    <w:rsid w:val="00F83B81"/>
    <w:rsid w:val="00F8405C"/>
    <w:rsid w:val="00F873F0"/>
    <w:rsid w:val="00FA553B"/>
    <w:rsid w:val="00FB13C2"/>
    <w:rsid w:val="00FB72BB"/>
    <w:rsid w:val="00FC22FF"/>
    <w:rsid w:val="00FC7708"/>
    <w:rsid w:val="00FE6F6C"/>
    <w:rsid w:val="00FE79A2"/>
    <w:rsid w:val="00FF17BE"/>
    <w:rsid w:val="047D565D"/>
    <w:rsid w:val="09373001"/>
    <w:rsid w:val="0B017B66"/>
    <w:rsid w:val="0C4869FB"/>
    <w:rsid w:val="0D894C77"/>
    <w:rsid w:val="0E8E79F1"/>
    <w:rsid w:val="0F036D42"/>
    <w:rsid w:val="0F7468AC"/>
    <w:rsid w:val="10C95C7C"/>
    <w:rsid w:val="15463FD2"/>
    <w:rsid w:val="175775B7"/>
    <w:rsid w:val="1AAE50AD"/>
    <w:rsid w:val="1B67425E"/>
    <w:rsid w:val="289B209A"/>
    <w:rsid w:val="2D2F135C"/>
    <w:rsid w:val="2F1124AC"/>
    <w:rsid w:val="3C38025F"/>
    <w:rsid w:val="3C992538"/>
    <w:rsid w:val="3F3A5E5C"/>
    <w:rsid w:val="3F3B12E2"/>
    <w:rsid w:val="42B31A3C"/>
    <w:rsid w:val="43232767"/>
    <w:rsid w:val="45296E84"/>
    <w:rsid w:val="46212862"/>
    <w:rsid w:val="47C40AA6"/>
    <w:rsid w:val="494E5AF8"/>
    <w:rsid w:val="4B3F663F"/>
    <w:rsid w:val="4B442BE5"/>
    <w:rsid w:val="4F022724"/>
    <w:rsid w:val="50082F1B"/>
    <w:rsid w:val="53CB23A2"/>
    <w:rsid w:val="572C1E49"/>
    <w:rsid w:val="58021AF1"/>
    <w:rsid w:val="5F19102D"/>
    <w:rsid w:val="622845F4"/>
    <w:rsid w:val="689A4E94"/>
    <w:rsid w:val="6A2503CE"/>
    <w:rsid w:val="6B3D53FB"/>
    <w:rsid w:val="6D4C5CE1"/>
    <w:rsid w:val="72CA3E75"/>
    <w:rsid w:val="72EE757E"/>
    <w:rsid w:val="73C32F03"/>
    <w:rsid w:val="76C951AF"/>
    <w:rsid w:val="77870E63"/>
    <w:rsid w:val="7FC12C8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qFormat/>
    <w:uiPriority w:val="0"/>
    <w:pPr>
      <w:ind w:left="100" w:leftChars="2500"/>
    </w:pPr>
  </w:style>
  <w:style w:type="paragraph" w:styleId="3">
    <w:name w:val="Balloon Text"/>
    <w:basedOn w:val="1"/>
    <w:semiHidden/>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电脑室</Company>
  <Pages>3</Pages>
  <Words>224</Words>
  <Characters>1279</Characters>
  <Lines>10</Lines>
  <Paragraphs>2</Paragraphs>
  <TotalTime>102</TotalTime>
  <ScaleCrop>false</ScaleCrop>
  <LinksUpToDate>false</LinksUpToDate>
  <CharactersWithSpaces>1501</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2021-03-19T07:20:00Z</dcterms:created>
  <dc:creator>郭海滨</dc:creator>
  <cp:lastModifiedBy>欧高清</cp:lastModifiedBy>
  <cp:lastPrinted>2022-09-29T02:28:00Z</cp:lastPrinted>
  <dcterms:modified xsi:type="dcterms:W3CDTF">2022-09-29T03:18:41Z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ICV">
    <vt:lpwstr>3413FFE70A3340E7BC2275ED6AECDB1F</vt:lpwstr>
  </property>
</Properties>
</file>