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themeColor="text1"/>
          <w:sz w:val="44"/>
          <w:szCs w:val="44"/>
          <w14:textFill>
            <w14:solidFill>
              <w14:schemeClr w14:val="tx1"/>
            </w14:solidFill>
          </w14:textFill>
        </w:rPr>
        <w:t>广州市花都区</w:t>
      </w:r>
      <w:r>
        <w:rPr>
          <w:rFonts w:hint="eastAsia" w:ascii="方正小标宋简体" w:hAnsi="宋体" w:eastAsia="方正小标宋简体"/>
          <w:color w:val="000000" w:themeColor="text1"/>
          <w:sz w:val="44"/>
          <w:szCs w:val="44"/>
          <w:lang w:eastAsia="zh-CN"/>
          <w14:textFill>
            <w14:solidFill>
              <w14:schemeClr w14:val="tx1"/>
            </w14:solidFill>
          </w14:textFill>
        </w:rPr>
        <w:t>（空港经济区）</w:t>
      </w:r>
      <w:r>
        <w:rPr>
          <w:rFonts w:hint="eastAsia" w:ascii="方正小标宋简体" w:hAnsi="宋体" w:eastAsia="方正小标宋简体"/>
          <w:color w:val="000000" w:themeColor="text1"/>
          <w:sz w:val="44"/>
          <w:szCs w:val="44"/>
          <w:lang w:val="en-US" w:eastAsia="zh-CN"/>
          <w14:textFill>
            <w14:solidFill>
              <w14:schemeClr w14:val="tx1"/>
            </w14:solidFill>
          </w14:textFill>
        </w:rPr>
        <w:t>2019</w:t>
      </w:r>
      <w:r>
        <w:rPr>
          <w:rFonts w:hint="eastAsia" w:ascii="方正小标宋简体" w:hAnsi="宋体" w:eastAsia="方正小标宋简体"/>
          <w:color w:val="000000" w:themeColor="text1"/>
          <w:sz w:val="44"/>
          <w:szCs w:val="44"/>
          <w14:textFill>
            <w14:solidFill>
              <w14:schemeClr w14:val="tx1"/>
            </w14:solidFill>
          </w14:textFill>
        </w:rPr>
        <w:t>年度</w:t>
      </w:r>
      <w:r>
        <w:rPr>
          <w:rFonts w:hint="eastAsia" w:ascii="方正小标宋简体" w:hAnsi="宋体" w:eastAsia="方正小标宋简体"/>
          <w:color w:val="000000" w:themeColor="text1"/>
          <w:sz w:val="44"/>
          <w:szCs w:val="44"/>
          <w:lang w:eastAsia="zh-CN"/>
          <w14:textFill>
            <w14:solidFill>
              <w14:schemeClr w14:val="tx1"/>
            </w14:solidFill>
          </w14:textFill>
        </w:rPr>
        <w:t>第</w:t>
      </w:r>
      <w:r>
        <w:rPr>
          <w:rFonts w:hint="eastAsia" w:ascii="方正小标宋简体" w:hAnsi="宋体" w:eastAsia="方正小标宋简体"/>
          <w:color w:val="000000" w:themeColor="text1"/>
          <w:sz w:val="44"/>
          <w:szCs w:val="44"/>
          <w:lang w:val="en-US" w:eastAsia="zh-CN"/>
          <w14:textFill>
            <w14:solidFill>
              <w14:schemeClr w14:val="tx1"/>
            </w14:solidFill>
          </w14:textFill>
        </w:rPr>
        <w:t>三十三</w:t>
      </w:r>
      <w:r>
        <w:rPr>
          <w:rFonts w:hint="eastAsia" w:ascii="方正小标宋简体" w:hAnsi="宋体" w:eastAsia="方正小标宋简体"/>
          <w:color w:val="000000" w:themeColor="text1"/>
          <w:sz w:val="44"/>
          <w:szCs w:val="44"/>
          <w14:textFill>
            <w14:solidFill>
              <w14:schemeClr w14:val="tx1"/>
            </w14:solidFill>
          </w14:textFill>
        </w:rPr>
        <w:t>批次城镇建设用地（</w:t>
      </w:r>
      <w:r>
        <w:rPr>
          <w:rFonts w:hint="eastAsia" w:ascii="方正小标宋简体" w:hAnsi="宋体" w:eastAsia="方正小标宋简体"/>
          <w:color w:val="000000" w:themeColor="text1"/>
          <w:sz w:val="44"/>
          <w:szCs w:val="44"/>
          <w:lang w:eastAsia="zh-CN"/>
          <w14:textFill>
            <w14:solidFill>
              <w14:schemeClr w14:val="tx1"/>
            </w14:solidFill>
          </w14:textFill>
        </w:rPr>
        <w:t>保税大道北一号地块</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themeColor="text1"/>
          <w:sz w:val="44"/>
          <w:szCs w:val="44"/>
          <w:lang w:eastAsia="zh-CN"/>
          <w14:textFill>
            <w14:solidFill>
              <w14:schemeClr w14:val="tx1"/>
            </w14:solidFill>
          </w14:textFill>
        </w:rPr>
        <w:t>地块一</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themeColor="text1"/>
          <w:sz w:val="44"/>
          <w:szCs w:val="44"/>
          <w14:textFill>
            <w14:solidFill>
              <w14:schemeClr w14:val="tx1"/>
            </w14:solidFill>
          </w14:textFill>
        </w:rPr>
        <w:t>）</w:t>
      </w:r>
      <w:r>
        <w:rPr>
          <w:rFonts w:hint="eastAsia" w:ascii="方正小标宋简体" w:hAnsi="宋体" w:eastAsia="方正小标宋简体"/>
          <w:color w:val="000000" w:themeColor="text1"/>
          <w:sz w:val="44"/>
          <w:szCs w:val="44"/>
          <w:lang w:eastAsia="zh-CN"/>
          <w14:textFill>
            <w14:solidFill>
              <w14:schemeClr w14:val="tx1"/>
            </w14:solidFill>
          </w14:textFill>
        </w:rPr>
        <w:t>的</w:t>
      </w:r>
      <w:r>
        <w:rPr>
          <w:rFonts w:hint="default" w:ascii="Times New Roman" w:hAnsi="Times New Roman" w:eastAsia="方正小标宋简体" w:cs="Times New Roman"/>
          <w:sz w:val="44"/>
          <w:szCs w:val="44"/>
        </w:rPr>
        <w:t>征地补偿安置方案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花山</w:t>
      </w:r>
      <w:r>
        <w:rPr>
          <w:rFonts w:hint="eastAsia" w:eastAsia="仿宋_GB2312" w:cs="Times New Roman"/>
          <w:sz w:val="32"/>
          <w:highlight w:val="none"/>
          <w:lang w:val="en-US" w:eastAsia="zh-CN"/>
        </w:rPr>
        <w:t>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eastAsia" w:eastAsia="仿宋_GB2312" w:cs="Times New Roman"/>
          <w:color w:val="auto"/>
          <w:sz w:val="32"/>
          <w:szCs w:val="32"/>
          <w:highlight w:val="none"/>
          <w:lang w:val="en-US" w:eastAsia="zh-CN"/>
        </w:rPr>
        <w:t>第五</w:t>
      </w:r>
      <w:r>
        <w:rPr>
          <w:rFonts w:hint="default" w:ascii="Times New Roman" w:hAnsi="Times New Roman" w:eastAsia="仿宋_GB2312" w:cs="Times New Roman"/>
          <w:color w:val="auto"/>
          <w:sz w:val="32"/>
          <w:szCs w:val="32"/>
          <w:highlight w:val="none"/>
        </w:rPr>
        <w:t>经济</w:t>
      </w:r>
      <w:r>
        <w:rPr>
          <w:rFonts w:hint="eastAsia" w:eastAsia="仿宋_GB2312" w:cs="Times New Roman"/>
          <w:color w:val="auto"/>
          <w:sz w:val="32"/>
          <w:szCs w:val="32"/>
          <w:highlight w:val="none"/>
          <w:lang w:eastAsia="zh-CN"/>
        </w:rPr>
        <w:t>合作社，平东村第六</w:t>
      </w:r>
      <w:r>
        <w:rPr>
          <w:rFonts w:hint="eastAsia" w:eastAsia="仿宋_GB2312" w:cs="Times New Roman"/>
          <w:color w:val="auto"/>
          <w:sz w:val="32"/>
          <w:szCs w:val="32"/>
          <w:highlight w:val="none"/>
          <w:lang w:val="en-US" w:eastAsia="zh-CN"/>
        </w:rPr>
        <w:t>经济合作社</w:t>
      </w:r>
      <w:r>
        <w:rPr>
          <w:rFonts w:hint="eastAsia" w:eastAsia="仿宋_GB2312" w:cs="Times New Roman"/>
          <w:color w:val="auto"/>
          <w:sz w:val="32"/>
          <w:szCs w:val="32"/>
          <w:highlight w:val="none"/>
          <w:lang w:eastAsia="zh-CN"/>
        </w:rPr>
        <w:t>，平东村</w:t>
      </w:r>
      <w:r>
        <w:rPr>
          <w:rFonts w:hint="eastAsia" w:eastAsia="仿宋_GB2312" w:cs="Times New Roman"/>
          <w:color w:val="auto"/>
          <w:sz w:val="32"/>
          <w:szCs w:val="32"/>
          <w:highlight w:val="none"/>
          <w:lang w:val="en-US" w:eastAsia="zh-CN"/>
        </w:rPr>
        <w:t>上丰经济合作社，平东村</w:t>
      </w:r>
      <w:r>
        <w:rPr>
          <w:rFonts w:hint="eastAsia" w:eastAsia="仿宋_GB2312" w:cs="Times New Roman"/>
          <w:color w:val="auto"/>
          <w:sz w:val="32"/>
          <w:szCs w:val="32"/>
          <w:highlight w:val="none"/>
          <w:lang w:eastAsia="zh-CN"/>
        </w:rPr>
        <w:t>欧阳经济合作社，平东村</w:t>
      </w:r>
      <w:r>
        <w:rPr>
          <w:rFonts w:hint="eastAsia" w:eastAsia="仿宋_GB2312" w:cs="Times New Roman"/>
          <w:color w:val="auto"/>
          <w:sz w:val="32"/>
          <w:szCs w:val="32"/>
          <w:highlight w:val="none"/>
          <w:lang w:val="en-US" w:eastAsia="zh-CN"/>
        </w:rPr>
        <w:t>第五</w:t>
      </w:r>
      <w:r>
        <w:rPr>
          <w:rFonts w:hint="default" w:ascii="Times New Roman" w:hAnsi="Times New Roman" w:eastAsia="仿宋_GB2312" w:cs="Times New Roman"/>
          <w:color w:val="auto"/>
          <w:sz w:val="32"/>
          <w:szCs w:val="32"/>
          <w:highlight w:val="none"/>
        </w:rPr>
        <w:t>经济</w:t>
      </w:r>
      <w:r>
        <w:rPr>
          <w:rFonts w:hint="eastAsia" w:eastAsia="仿宋_GB2312" w:cs="Times New Roman"/>
          <w:color w:val="auto"/>
          <w:sz w:val="32"/>
          <w:szCs w:val="32"/>
          <w:highlight w:val="none"/>
          <w:lang w:eastAsia="zh-CN"/>
        </w:rPr>
        <w:t>合作社、第六</w:t>
      </w:r>
      <w:r>
        <w:rPr>
          <w:rFonts w:hint="eastAsia" w:eastAsia="仿宋_GB2312" w:cs="Times New Roman"/>
          <w:color w:val="auto"/>
          <w:sz w:val="32"/>
          <w:szCs w:val="32"/>
          <w:highlight w:val="none"/>
          <w:lang w:val="en-US" w:eastAsia="zh-CN"/>
        </w:rPr>
        <w:t>经济合作社</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上丰经济合作社（共有），平东村第五</w:t>
      </w:r>
      <w:r>
        <w:rPr>
          <w:rFonts w:hint="default" w:ascii="Times New Roman" w:hAnsi="Times New Roman" w:eastAsia="仿宋_GB2312" w:cs="Times New Roman"/>
          <w:color w:val="auto"/>
          <w:sz w:val="32"/>
          <w:szCs w:val="32"/>
          <w:highlight w:val="none"/>
        </w:rPr>
        <w:t>经济</w:t>
      </w:r>
      <w:r>
        <w:rPr>
          <w:rFonts w:hint="eastAsia" w:eastAsia="仿宋_GB2312" w:cs="Times New Roman"/>
          <w:color w:val="auto"/>
          <w:sz w:val="32"/>
          <w:szCs w:val="32"/>
          <w:highlight w:val="none"/>
          <w:lang w:eastAsia="zh-CN"/>
        </w:rPr>
        <w:t>合作社、第六</w:t>
      </w:r>
      <w:r>
        <w:rPr>
          <w:rFonts w:hint="eastAsia" w:eastAsia="仿宋_GB2312" w:cs="Times New Roman"/>
          <w:color w:val="auto"/>
          <w:sz w:val="32"/>
          <w:szCs w:val="32"/>
          <w:highlight w:val="none"/>
          <w:lang w:val="en-US" w:eastAsia="zh-CN"/>
        </w:rPr>
        <w:t>经济合作社（共有）属下的</w:t>
      </w:r>
      <w:r>
        <w:rPr>
          <w:rFonts w:hint="eastAsia" w:eastAsia="仿宋_GB2312"/>
          <w:color w:val="auto"/>
          <w:sz w:val="32"/>
          <w:szCs w:val="32"/>
          <w:highlight w:val="none"/>
        </w:rPr>
        <w:t>集体土地</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4.7529</w:t>
      </w:r>
      <w:r>
        <w:rPr>
          <w:rFonts w:hint="eastAsia" w:hAnsi="仿宋_GB2312" w:eastAsia="仿宋_GB2312"/>
          <w:color w:val="auto"/>
          <w:sz w:val="32"/>
          <w:szCs w:val="32"/>
          <w:highlight w:val="none"/>
        </w:rPr>
        <w:t>公顷</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4.7529</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4.0756公顷（耕地0.9713公顷、园地1.2321公顷、其他农用地1.8722公顷）、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0.0069公顷、未利用地0.6704公顷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4"/>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500"/>
        <w:gridCol w:w="1070"/>
        <w:gridCol w:w="1080"/>
        <w:gridCol w:w="1150"/>
        <w:gridCol w:w="1100"/>
        <w:gridCol w:w="1060"/>
        <w:gridCol w:w="98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70"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080"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250"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40"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167"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vAlign w:val="center"/>
          </w:tcPr>
          <w:p>
            <w:pPr>
              <w:jc w:val="center"/>
              <w:rPr>
                <w:rFonts w:hint="default" w:ascii="Times New Roman" w:hAnsi="Times New Roman" w:eastAsia="仿宋_GB2312" w:cs="Times New Roman"/>
                <w:b/>
                <w:bCs/>
                <w:sz w:val="24"/>
              </w:rPr>
            </w:pPr>
          </w:p>
        </w:tc>
        <w:tc>
          <w:tcPr>
            <w:tcW w:w="1570" w:type="dxa"/>
            <w:gridSpan w:val="2"/>
            <w:vMerge w:val="continue"/>
            <w:vAlign w:val="center"/>
          </w:tcPr>
          <w:p>
            <w:pPr>
              <w:jc w:val="center"/>
              <w:rPr>
                <w:rFonts w:hint="default" w:ascii="Times New Roman" w:hAnsi="Times New Roman" w:eastAsia="仿宋_GB2312" w:cs="Times New Roman"/>
                <w:b/>
                <w:bCs/>
                <w:sz w:val="24"/>
              </w:rPr>
            </w:pPr>
          </w:p>
        </w:tc>
        <w:tc>
          <w:tcPr>
            <w:tcW w:w="1080" w:type="dxa"/>
            <w:vMerge w:val="continue"/>
            <w:vAlign w:val="center"/>
          </w:tcPr>
          <w:p>
            <w:pPr>
              <w:jc w:val="center"/>
              <w:rPr>
                <w:rFonts w:hint="default" w:ascii="Times New Roman" w:hAnsi="Times New Roman" w:eastAsia="仿宋_GB2312" w:cs="Times New Roman"/>
                <w:b/>
                <w:bCs/>
                <w:sz w:val="24"/>
              </w:rPr>
            </w:pPr>
          </w:p>
        </w:tc>
        <w:tc>
          <w:tcPr>
            <w:tcW w:w="115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6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98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167"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48"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eastAsia="仿宋_GB2312"/>
                <w:sz w:val="24"/>
              </w:rPr>
              <w:t>第五经济合作社，第六经济合作社，上丰经济合作社，欧阳经济合作社，第五经济合作社、第六经济合作社、上丰经济合作社（共有），第五经济合作社、第六经济合作社（共有）</w:t>
            </w:r>
            <w:r>
              <w:rPr>
                <w:rFonts w:hint="eastAsia" w:eastAsia="仿宋_GB2312" w:cs="Times New Roman"/>
                <w:sz w:val="24"/>
                <w:highlight w:val="none"/>
                <w:lang w:val="en-US" w:eastAsia="zh-CN"/>
              </w:rPr>
              <w:t>（机场控制区内）</w:t>
            </w:r>
            <w:r>
              <w:rPr>
                <w:rFonts w:hint="default" w:ascii="Times New Roman" w:hAnsi="Times New Roman" w:eastAsia="仿宋_GB2312" w:cs="Times New Roman"/>
                <w:sz w:val="24"/>
              </w:rPr>
              <w:t xml:space="preserve"> </w:t>
            </w:r>
          </w:p>
        </w:tc>
        <w:tc>
          <w:tcPr>
            <w:tcW w:w="50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107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08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0.2567</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rPr>
            </w:pPr>
            <w:r>
              <w:rPr>
                <w:rFonts w:hint="eastAsia" w:cs="Times New Roman" w:eastAsiaTheme="minorEastAsia"/>
                <w:i w:val="0"/>
                <w:iCs w:val="0"/>
                <w:kern w:val="2"/>
                <w:sz w:val="21"/>
                <w:szCs w:val="21"/>
                <w:u w:val="none"/>
                <w:lang w:val="en-US" w:eastAsia="zh-CN" w:bidi="ar"/>
              </w:rPr>
              <w:t>30.804</w:t>
            </w:r>
          </w:p>
        </w:tc>
        <w:tc>
          <w:tcPr>
            <w:tcW w:w="106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rPr>
            </w:pPr>
            <w:r>
              <w:rPr>
                <w:rFonts w:hint="eastAsia" w:cs="Times New Roman" w:eastAsiaTheme="minorEastAsia"/>
                <w:i w:val="0"/>
                <w:iCs w:val="0"/>
                <w:kern w:val="2"/>
                <w:sz w:val="21"/>
                <w:szCs w:val="21"/>
                <w:u w:val="none"/>
                <w:lang w:val="en-US" w:eastAsia="zh-CN" w:bidi="ar"/>
              </w:rPr>
              <w:t>30.804</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61.608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48" w:type="dxa"/>
            <w:vMerge w:val="continue"/>
            <w:vAlign w:val="center"/>
          </w:tcPr>
          <w:p>
            <w:pPr>
              <w:jc w:val="center"/>
              <w:rPr>
                <w:rFonts w:hint="default" w:ascii="Times New Roman" w:hAnsi="Times New Roman" w:eastAsia="仿宋_GB2312" w:cs="Times New Roman"/>
                <w:sz w:val="24"/>
              </w:rPr>
            </w:pPr>
          </w:p>
        </w:tc>
        <w:tc>
          <w:tcPr>
            <w:tcW w:w="500" w:type="dxa"/>
            <w:vMerge w:val="continue"/>
            <w:vAlign w:val="center"/>
          </w:tcPr>
          <w:p>
            <w:pPr>
              <w:jc w:val="center"/>
              <w:rPr>
                <w:rFonts w:hint="default" w:ascii="Times New Roman" w:hAnsi="Times New Roman" w:eastAsia="仿宋_GB2312" w:cs="Times New Roman"/>
                <w:sz w:val="24"/>
              </w:rPr>
            </w:pPr>
          </w:p>
        </w:tc>
        <w:tc>
          <w:tcPr>
            <w:tcW w:w="107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080"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.7146</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ascii="Calibri" w:hAnsi="Calibri" w:cs="Calibri"/>
                <w:i w:val="0"/>
                <w:iCs w:val="0"/>
                <w:color w:val="000000"/>
                <w:kern w:val="0"/>
                <w:sz w:val="22"/>
                <w:szCs w:val="22"/>
                <w:u w:val="none"/>
                <w:lang w:val="en-US" w:eastAsia="zh-CN" w:bidi="ar"/>
              </w:rPr>
              <w:t>85.752</w:t>
            </w:r>
          </w:p>
        </w:tc>
        <w:tc>
          <w:tcPr>
            <w:tcW w:w="106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ascii="Calibri" w:hAnsi="Calibri" w:cs="Calibri"/>
                <w:i w:val="0"/>
                <w:iCs w:val="0"/>
                <w:color w:val="000000"/>
                <w:kern w:val="0"/>
                <w:sz w:val="22"/>
                <w:szCs w:val="22"/>
                <w:u w:val="none"/>
                <w:lang w:val="en-US" w:eastAsia="zh-CN" w:bidi="ar"/>
              </w:rPr>
              <w:t>85.752</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171.504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48" w:type="dxa"/>
            <w:vMerge w:val="continue"/>
            <w:vAlign w:val="center"/>
          </w:tcPr>
          <w:p>
            <w:pPr>
              <w:jc w:val="center"/>
              <w:rPr>
                <w:rFonts w:hint="default" w:ascii="Times New Roman" w:hAnsi="Times New Roman" w:eastAsia="仿宋_GB2312" w:cs="Times New Roman"/>
                <w:sz w:val="24"/>
              </w:rPr>
            </w:pPr>
          </w:p>
        </w:tc>
        <w:tc>
          <w:tcPr>
            <w:tcW w:w="500" w:type="dxa"/>
            <w:vMerge w:val="continue"/>
            <w:vAlign w:val="center"/>
          </w:tcPr>
          <w:p>
            <w:pPr>
              <w:jc w:val="center"/>
              <w:rPr>
                <w:rFonts w:hint="default" w:ascii="Times New Roman" w:hAnsi="Times New Roman" w:eastAsia="仿宋_GB2312" w:cs="Times New Roman"/>
                <w:sz w:val="24"/>
              </w:rPr>
            </w:pPr>
          </w:p>
        </w:tc>
        <w:tc>
          <w:tcPr>
            <w:tcW w:w="107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08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06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8" w:type="dxa"/>
            <w:vMerge w:val="continue"/>
            <w:vAlign w:val="center"/>
          </w:tcPr>
          <w:p>
            <w:pPr>
              <w:jc w:val="center"/>
              <w:rPr>
                <w:rFonts w:hint="default" w:ascii="Times New Roman" w:hAnsi="Times New Roman" w:eastAsia="仿宋_GB2312" w:cs="Times New Roman"/>
                <w:sz w:val="24"/>
              </w:rPr>
            </w:pPr>
          </w:p>
        </w:tc>
        <w:tc>
          <w:tcPr>
            <w:tcW w:w="157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08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1.2321</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cs="Times New Roman" w:eastAsiaTheme="minorEastAsia"/>
                <w:i w:val="0"/>
                <w:iCs w:val="0"/>
                <w:kern w:val="2"/>
                <w:sz w:val="21"/>
                <w:szCs w:val="21"/>
                <w:u w:val="none"/>
                <w:lang w:val="en-US" w:eastAsia="zh-CN" w:bidi="ar"/>
              </w:rPr>
              <w:t>147.852</w:t>
            </w:r>
          </w:p>
        </w:tc>
        <w:tc>
          <w:tcPr>
            <w:tcW w:w="106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eastAsia" w:cs="Times New Roman" w:eastAsiaTheme="minorEastAsia"/>
                <w:i w:val="0"/>
                <w:iCs w:val="0"/>
                <w:kern w:val="2"/>
                <w:sz w:val="21"/>
                <w:szCs w:val="21"/>
                <w:u w:val="none"/>
                <w:lang w:val="en-US" w:eastAsia="zh-CN" w:bidi="ar"/>
              </w:rPr>
              <w:t>147.852</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295.704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8" w:type="dxa"/>
            <w:vMerge w:val="continue"/>
            <w:vAlign w:val="center"/>
          </w:tcPr>
          <w:p>
            <w:pPr>
              <w:jc w:val="center"/>
              <w:rPr>
                <w:rFonts w:hint="default" w:ascii="Times New Roman" w:hAnsi="Times New Roman" w:eastAsia="仿宋_GB2312" w:cs="Times New Roman"/>
                <w:sz w:val="24"/>
              </w:rPr>
            </w:pPr>
          </w:p>
        </w:tc>
        <w:tc>
          <w:tcPr>
            <w:tcW w:w="157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08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06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8" w:type="dxa"/>
            <w:vMerge w:val="continue"/>
            <w:vAlign w:val="center"/>
          </w:tcPr>
          <w:p>
            <w:pPr>
              <w:jc w:val="center"/>
              <w:rPr>
                <w:rFonts w:hint="default" w:ascii="Times New Roman" w:hAnsi="Times New Roman" w:eastAsia="仿宋_GB2312" w:cs="Times New Roman"/>
                <w:sz w:val="24"/>
              </w:rPr>
            </w:pPr>
          </w:p>
        </w:tc>
        <w:tc>
          <w:tcPr>
            <w:tcW w:w="157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08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1.8722</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cs="Times New Roman" w:eastAsiaTheme="minorEastAsia"/>
                <w:i w:val="0"/>
                <w:iCs w:val="0"/>
                <w:kern w:val="2"/>
                <w:sz w:val="21"/>
                <w:szCs w:val="21"/>
                <w:u w:val="none"/>
                <w:lang w:val="en-US" w:eastAsia="zh-CN" w:bidi="ar"/>
              </w:rPr>
              <w:t>224.664</w:t>
            </w:r>
          </w:p>
        </w:tc>
        <w:tc>
          <w:tcPr>
            <w:tcW w:w="1060"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980" w:type="dxa"/>
            <w:tcBorders>
              <w:bottom w:val="single" w:color="auto" w:sz="4" w:space="0"/>
            </w:tcBorders>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eastAsia" w:cs="Times New Roman" w:eastAsiaTheme="minorEastAsia"/>
                <w:i w:val="0"/>
                <w:iCs w:val="0"/>
                <w:kern w:val="2"/>
                <w:sz w:val="21"/>
                <w:szCs w:val="21"/>
                <w:u w:val="none"/>
                <w:lang w:val="en-US" w:eastAsia="zh-CN" w:bidi="ar"/>
              </w:rPr>
              <w:t>224.664</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449.328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8" w:type="dxa"/>
            <w:vMerge w:val="continue"/>
            <w:vAlign w:val="center"/>
          </w:tcPr>
          <w:p>
            <w:pPr>
              <w:jc w:val="center"/>
              <w:rPr>
                <w:rFonts w:hint="default" w:ascii="Times New Roman" w:hAnsi="Times New Roman" w:eastAsia="仿宋_GB2312" w:cs="Times New Roman"/>
                <w:sz w:val="24"/>
              </w:rPr>
            </w:pPr>
          </w:p>
        </w:tc>
        <w:tc>
          <w:tcPr>
            <w:tcW w:w="157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08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0.0069</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i w:val="0"/>
                <w:iCs w:val="0"/>
                <w:kern w:val="2"/>
                <w:sz w:val="21"/>
                <w:szCs w:val="21"/>
                <w:u w:val="none"/>
                <w:lang w:val="en-US" w:eastAsia="zh-CN" w:bidi="ar"/>
              </w:rPr>
              <w:t>1.656</w:t>
            </w:r>
          </w:p>
        </w:tc>
        <w:tc>
          <w:tcPr>
            <w:tcW w:w="1060"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980"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default" w:ascii="Times New Roman" w:hAnsi="Times New Roman" w:cs="Times New Roman" w:eastAsiaTheme="minorEastAsia"/>
                <w:sz w:val="21"/>
                <w:szCs w:val="21"/>
                <w:u w:val="none"/>
                <w:lang w:bidi="ar"/>
              </w:rPr>
              <w:t>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8" w:type="dxa"/>
            <w:vMerge w:val="continue"/>
            <w:vAlign w:val="center"/>
          </w:tcPr>
          <w:p>
            <w:pPr>
              <w:jc w:val="center"/>
              <w:rPr>
                <w:rFonts w:hint="default" w:ascii="Times New Roman" w:hAnsi="Times New Roman" w:eastAsia="仿宋_GB2312" w:cs="Times New Roman"/>
                <w:sz w:val="24"/>
              </w:rPr>
            </w:pPr>
          </w:p>
        </w:tc>
        <w:tc>
          <w:tcPr>
            <w:tcW w:w="157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080"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.6704</w:t>
            </w:r>
          </w:p>
        </w:tc>
        <w:tc>
          <w:tcPr>
            <w:tcW w:w="115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0"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160.896</w:t>
            </w:r>
          </w:p>
        </w:tc>
        <w:tc>
          <w:tcPr>
            <w:tcW w:w="1060"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980"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eastAsia" w:cs="Times New Roman" w:eastAsiaTheme="minorEastAsia"/>
                <w:sz w:val="21"/>
                <w:szCs w:val="21"/>
                <w:u w:val="none"/>
                <w:lang w:val="en-US" w:eastAsia="zh-CN" w:bidi="ar"/>
              </w:rPr>
              <w:t>160.896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8" w:type="dxa"/>
            <w:vMerge w:val="continue"/>
            <w:vAlign w:val="center"/>
          </w:tcPr>
          <w:p>
            <w:pPr>
              <w:jc w:val="center"/>
              <w:rPr>
                <w:rFonts w:hint="default" w:ascii="Times New Roman" w:hAnsi="Times New Roman" w:eastAsia="仿宋_GB2312" w:cs="Times New Roman"/>
                <w:sz w:val="24"/>
              </w:rPr>
            </w:pPr>
          </w:p>
        </w:tc>
        <w:tc>
          <w:tcPr>
            <w:tcW w:w="6940"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167"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default" w:ascii="Times New Roman" w:hAnsi="Times New Roman" w:cs="Times New Roman" w:eastAsiaTheme="minorEastAsia"/>
                <w:sz w:val="21"/>
                <w:szCs w:val="21"/>
                <w:u w:val="none"/>
                <w:lang w:bidi="ar"/>
              </w:rPr>
              <w:t>1140.696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cs="Times New Roman"/>
          <w:sz w:val="32"/>
          <w:szCs w:val="32"/>
          <w:lang w:val="en-US" w:eastAsia="zh-CN"/>
        </w:rPr>
        <w:t>4.7529</w:t>
      </w:r>
      <w:r>
        <w:rPr>
          <w:rFonts w:hint="eastAsia" w:eastAsia="仿宋_GB2312"/>
          <w:sz w:val="32"/>
          <w:szCs w:val="32"/>
          <w:lang w:val="en-US" w:eastAsia="zh-CN"/>
        </w:rPr>
        <w:t>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eastAsia="仿宋_GB2312" w:cs="Times New Roman"/>
          <w:sz w:val="32"/>
          <w:szCs w:val="32"/>
          <w:lang w:val="en-US" w:eastAsia="zh-CN"/>
        </w:rPr>
        <w:t>0.4753</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广州市花都区（空港经济区）</w:t>
      </w:r>
      <w:r>
        <w:rPr>
          <w:rFonts w:hint="eastAsia" w:eastAsia="仿宋_GB2312" w:cs="Times New Roman"/>
          <w:color w:val="auto"/>
          <w:sz w:val="32"/>
          <w:szCs w:val="32"/>
          <w:highlight w:val="none"/>
          <w:lang w:val="en-US" w:eastAsia="zh-CN"/>
        </w:rPr>
        <w:t>2019年度第十七批次城镇建设用地（机场北进场路东一地块）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粤府土审（02）</w:t>
      </w:r>
      <w:r>
        <w:rPr>
          <w:rFonts w:hint="default" w:ascii="Times New Roman" w:hAnsi="Times New Roman" w:eastAsia="仿宋_GB2312" w:cs="Times New Roman"/>
          <w:color w:val="auto"/>
          <w:sz w:val="32"/>
          <w:szCs w:val="32"/>
          <w:highlight w:val="none"/>
          <w:lang w:val="en-US" w:eastAsia="zh-CN"/>
        </w:rPr>
        <w:t>〔201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147</w:t>
      </w:r>
      <w:r>
        <w:rPr>
          <w:rFonts w:hint="default" w:ascii="Times New Roman" w:hAnsi="Times New Roman" w:eastAsia="仿宋_GB2312" w:cs="Times New Roman"/>
          <w:color w:val="auto"/>
          <w:sz w:val="32"/>
          <w:szCs w:val="32"/>
          <w:highlight w:val="none"/>
          <w:lang w:val="en-US" w:eastAsia="zh-CN"/>
        </w:rPr>
        <w:t>号</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w:t>
      </w:r>
    </w:p>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4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陈小子</cp:lastModifiedBy>
  <dcterms:modified xsi:type="dcterms:W3CDTF">2022-08-16T08:21:01Z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000D1C33B9244B18A0C537A418D0B87C</vt:lpwstr>
  </property>
</Properties>
</file>