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广州市花都区吸纳脱贫人口社会保险补贴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网上申办操作指引</w:t>
      </w:r>
    </w:p>
    <w:p>
      <w:pPr>
        <w:ind w:firstLine="640" w:firstLineChars="200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</w:pPr>
    </w:p>
    <w:p>
      <w:p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补贴项目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：吸纳脱贫人口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补贴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补贴条件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用人单位招用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广西壮族自治区、贵州省、新疆维吾尔自治区、西藏自治区</w:t>
      </w:r>
      <w:r>
        <w:rPr>
          <w:rFonts w:hint="eastAsia" w:ascii="仿宋" w:hAnsi="仿宋" w:eastAsia="仿宋" w:cs="仿宋"/>
          <w:sz w:val="32"/>
          <w:szCs w:val="32"/>
        </w:rPr>
        <w:t>的脱贫人口，与其签订一年以上劳动合同(距法定退休年龄不足一年的，劳动合同不作时间要求，下同)。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相关人员按规定缴纳社会保险费。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补贴对象</w:t>
      </w:r>
      <w:r>
        <w:rPr>
          <w:rFonts w:hint="eastAsia" w:ascii="仿宋" w:hAnsi="仿宋" w:eastAsia="仿宋" w:cs="仿宋"/>
          <w:sz w:val="32"/>
          <w:szCs w:val="32"/>
        </w:rPr>
        <w:t>:符合条件的用人单位(劳务派遣单位除外)。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补贴标准</w:t>
      </w:r>
      <w:r>
        <w:rPr>
          <w:rFonts w:hint="eastAsia" w:ascii="仿宋" w:hAnsi="仿宋" w:eastAsia="仿宋" w:cs="仿宋"/>
          <w:sz w:val="32"/>
          <w:szCs w:val="32"/>
        </w:rPr>
        <w:t>:每月按用人单位为符合条件人员实际缴纳的基本养老保险费、基本医疗保险费、失业保险费、工伤保险费、生育保险费给予补贴。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补贴期限</w:t>
      </w:r>
      <w:r>
        <w:rPr>
          <w:rFonts w:hint="eastAsia" w:ascii="仿宋" w:hAnsi="仿宋" w:eastAsia="仿宋" w:cs="仿宋"/>
          <w:sz w:val="32"/>
          <w:szCs w:val="32"/>
        </w:rPr>
        <w:t>:除对距法定退休年龄不足5年的人员可延长至退休外，其余人员最长不超过3年。</w:t>
      </w:r>
      <w:bookmarkStart w:id="3" w:name="_GoBack"/>
      <w:bookmarkEnd w:id="3"/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应提交材料</w:t>
      </w:r>
      <w:r>
        <w:rPr>
          <w:rFonts w:hint="eastAsia" w:ascii="仿宋" w:hAnsi="仿宋" w:eastAsia="仿宋" w:cs="仿宋"/>
          <w:sz w:val="32"/>
          <w:szCs w:val="32"/>
        </w:rPr>
        <w:t>:符合条件人员的基本身份类证明，劳动合同(有条件的地区可改为核验就业登记信息，下同)。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应核验信息</w:t>
      </w:r>
      <w:r>
        <w:rPr>
          <w:rFonts w:hint="eastAsia" w:ascii="仿宋" w:hAnsi="仿宋" w:eastAsia="仿宋" w:cs="仿宋"/>
          <w:sz w:val="32"/>
          <w:szCs w:val="32"/>
        </w:rPr>
        <w:t>:社保缴费记录;脱贫人口信息(以脱贫人口身份享受时核验);单位登记信息。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申请程序</w:t>
      </w:r>
      <w:r>
        <w:rPr>
          <w:rFonts w:hint="eastAsia" w:ascii="仿宋" w:hAnsi="仿宋" w:eastAsia="仿宋" w:cs="仿宋"/>
          <w:sz w:val="32"/>
          <w:szCs w:val="32"/>
        </w:rPr>
        <w:t>:补贴对象原则上应按季度(或半年)向所在地人力资源社会保障部门申请对上季度(或半年)已缴纳的社会保险费给予补贴。首次补贴申请应于首次签订劳动合同之日起1年内提出。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申请时间：逢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1月、4月、7月、10月在网上申请。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吸纳脱贫人口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补贴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网上操作指引，详见附件</w:t>
      </w:r>
    </w:p>
    <w:p>
      <w:pPr>
        <w:ind w:firstLine="640" w:firstLineChars="200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/>
          <w:b/>
          <w:sz w:val="48"/>
          <w:szCs w:val="4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numPr>
          <w:ilvl w:val="0"/>
          <w:numId w:val="0"/>
        </w:numPr>
        <w:ind w:left="420" w:leftChar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附件:</w:t>
      </w:r>
    </w:p>
    <w:p>
      <w:pPr>
        <w:pStyle w:val="2"/>
        <w:numPr>
          <w:ilvl w:val="0"/>
          <w:numId w:val="0"/>
        </w:numPr>
        <w:ind w:left="420" w:leftChars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kern w:val="44"/>
          <w:sz w:val="44"/>
          <w:szCs w:val="44"/>
          <w:lang w:val="en-US" w:eastAsia="zh-CN" w:bidi="ar-SA"/>
        </w:rPr>
      </w:pPr>
    </w:p>
    <w:p>
      <w:pPr>
        <w:pStyle w:val="2"/>
        <w:numPr>
          <w:ilvl w:val="0"/>
          <w:numId w:val="0"/>
        </w:numPr>
        <w:ind w:left="420" w:leftChars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kern w:val="44"/>
          <w:sz w:val="44"/>
          <w:szCs w:val="44"/>
          <w:lang w:val="en-US" w:eastAsia="zh-CN" w:bidi="ar-SA"/>
        </w:rPr>
      </w:pPr>
    </w:p>
    <w:p>
      <w:pPr>
        <w:widowControl/>
        <w:jc w:val="center"/>
        <w:rPr>
          <w:rFonts w:hint="eastAsia" w:ascii="微软雅黑" w:hAnsi="微软雅黑" w:eastAsia="微软雅黑" w:cs="宋体"/>
          <w:color w:val="0D1C28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宋体"/>
          <w:color w:val="0D1C28"/>
          <w:kern w:val="0"/>
          <w:sz w:val="44"/>
          <w:szCs w:val="44"/>
          <w:shd w:val="clear" w:color="auto" w:fill="FFFFFF"/>
          <w:lang w:val="en-US" w:eastAsia="zh-CN"/>
        </w:rPr>
        <w:t>招用工社保补贴和岗位补贴（</w:t>
      </w:r>
      <w:r>
        <w:rPr>
          <w:rFonts w:hint="eastAsia" w:ascii="微软雅黑" w:hAnsi="微软雅黑" w:eastAsia="微软雅黑" w:cs="宋体"/>
          <w:color w:val="0D1C28"/>
          <w:kern w:val="0"/>
          <w:sz w:val="44"/>
          <w:szCs w:val="44"/>
          <w:shd w:val="clear" w:color="auto" w:fill="FFFFFF"/>
          <w:lang w:eastAsia="zh-CN"/>
        </w:rPr>
        <w:t>吸纳脱贫人口</w:t>
      </w:r>
      <w:r>
        <w:rPr>
          <w:rFonts w:hint="eastAsia" w:ascii="微软雅黑" w:hAnsi="微软雅黑" w:eastAsia="微软雅黑" w:cs="宋体"/>
          <w:color w:val="0D1C28"/>
          <w:kern w:val="0"/>
          <w:sz w:val="44"/>
          <w:szCs w:val="44"/>
          <w:shd w:val="clear" w:color="auto" w:fill="FFFFFF"/>
        </w:rPr>
        <w:t>社</w:t>
      </w:r>
      <w:r>
        <w:rPr>
          <w:rFonts w:hint="eastAsia" w:ascii="微软雅黑" w:hAnsi="微软雅黑" w:eastAsia="微软雅黑" w:cs="宋体"/>
          <w:color w:val="0D1C28"/>
          <w:kern w:val="0"/>
          <w:sz w:val="44"/>
          <w:szCs w:val="44"/>
          <w:shd w:val="clear" w:color="auto" w:fill="FFFFFF"/>
          <w:lang w:eastAsia="zh-CN"/>
        </w:rPr>
        <w:t>会</w:t>
      </w:r>
      <w:r>
        <w:rPr>
          <w:rFonts w:hint="eastAsia" w:ascii="微软雅黑" w:hAnsi="微软雅黑" w:eastAsia="微软雅黑" w:cs="宋体"/>
          <w:color w:val="0D1C28"/>
          <w:kern w:val="0"/>
          <w:sz w:val="44"/>
          <w:szCs w:val="44"/>
          <w:shd w:val="clear" w:color="auto" w:fill="FFFFFF"/>
        </w:rPr>
        <w:t>保</w:t>
      </w:r>
      <w:r>
        <w:rPr>
          <w:rFonts w:hint="eastAsia" w:ascii="微软雅黑" w:hAnsi="微软雅黑" w:eastAsia="微软雅黑" w:cs="宋体"/>
          <w:color w:val="0D1C28"/>
          <w:kern w:val="0"/>
          <w:sz w:val="44"/>
          <w:szCs w:val="44"/>
          <w:shd w:val="clear" w:color="auto" w:fill="FFFFFF"/>
          <w:lang w:eastAsia="zh-CN"/>
        </w:rPr>
        <w:t>险</w:t>
      </w:r>
      <w:r>
        <w:rPr>
          <w:rFonts w:hint="eastAsia" w:ascii="微软雅黑" w:hAnsi="微软雅黑" w:eastAsia="微软雅黑" w:cs="宋体"/>
          <w:color w:val="0D1C28"/>
          <w:kern w:val="0"/>
          <w:sz w:val="44"/>
          <w:szCs w:val="44"/>
          <w:shd w:val="clear" w:color="auto" w:fill="FFFFFF"/>
        </w:rPr>
        <w:t>补贴</w:t>
      </w:r>
      <w:r>
        <w:rPr>
          <w:rFonts w:hint="eastAsia" w:ascii="微软雅黑" w:hAnsi="微软雅黑" w:eastAsia="微软雅黑" w:cs="宋体"/>
          <w:color w:val="0D1C28"/>
          <w:kern w:val="0"/>
          <w:sz w:val="44"/>
          <w:szCs w:val="44"/>
          <w:shd w:val="clear" w:color="auto" w:fill="FFFFFF"/>
          <w:lang w:val="en-US" w:eastAsia="zh-CN"/>
        </w:rPr>
        <w:t>）</w:t>
      </w:r>
    </w:p>
    <w:p>
      <w:pPr>
        <w:widowControl/>
        <w:jc w:val="center"/>
        <w:rPr>
          <w:rFonts w:hint="eastAsia" w:ascii="微软雅黑" w:hAnsi="微软雅黑" w:eastAsia="微软雅黑" w:cs="宋体"/>
          <w:color w:val="0D1C28"/>
          <w:kern w:val="0"/>
          <w:sz w:val="44"/>
          <w:szCs w:val="44"/>
          <w:shd w:val="clear" w:color="auto" w:fill="FFFFFF"/>
        </w:rPr>
      </w:pPr>
      <w:r>
        <w:rPr>
          <w:rFonts w:hint="eastAsia" w:ascii="微软雅黑" w:hAnsi="微软雅黑" w:eastAsia="微软雅黑" w:cs="宋体"/>
          <w:color w:val="0D1C28"/>
          <w:kern w:val="0"/>
          <w:sz w:val="44"/>
          <w:szCs w:val="44"/>
          <w:shd w:val="clear" w:color="auto" w:fill="FFFFFF"/>
          <w:lang w:val="en-US" w:eastAsia="zh-CN"/>
        </w:rPr>
        <w:t>网上申办操作指引</w:t>
      </w:r>
    </w:p>
    <w:p>
      <w:pPr>
        <w:rPr>
          <w:b/>
          <w:sz w:val="28"/>
          <w:szCs w:val="28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1984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pStyle w:val="3"/>
        <w:numPr>
          <w:ilvl w:val="0"/>
          <w:numId w:val="3"/>
        </w:numPr>
        <w:tabs>
          <w:tab w:val="clear" w:pos="860"/>
        </w:tabs>
        <w:ind w:left="0" w:firstLine="860"/>
        <w:rPr>
          <w:sz w:val="24"/>
          <w:szCs w:val="24"/>
        </w:rPr>
      </w:pPr>
      <w:r>
        <w:rPr>
          <w:rFonts w:hint="eastAsia"/>
          <w:sz w:val="24"/>
          <w:szCs w:val="24"/>
        </w:rPr>
        <w:t>第一</w:t>
      </w:r>
      <w:r>
        <w:rPr>
          <w:sz w:val="24"/>
          <w:szCs w:val="24"/>
        </w:rPr>
        <w:t>步</w:t>
      </w:r>
      <w:r>
        <w:rPr>
          <w:rFonts w:hint="eastAsia"/>
          <w:sz w:val="24"/>
          <w:szCs w:val="24"/>
        </w:rPr>
        <w:t>：登录</w:t>
      </w:r>
      <w:r>
        <w:rPr>
          <w:sz w:val="24"/>
          <w:szCs w:val="24"/>
        </w:rPr>
        <w:t>进入网办</w:t>
      </w:r>
      <w:r>
        <w:rPr>
          <w:rFonts w:hint="eastAsia"/>
          <w:sz w:val="24"/>
          <w:szCs w:val="24"/>
        </w:rPr>
        <w:t>前</w:t>
      </w:r>
      <w:r>
        <w:rPr>
          <w:sz w:val="24"/>
          <w:szCs w:val="24"/>
        </w:rPr>
        <w:t>台系统</w:t>
      </w:r>
      <w:r>
        <w:rPr>
          <w:rFonts w:hint="eastAsia"/>
          <w:sz w:val="24"/>
          <w:szCs w:val="24"/>
          <w:lang w:eastAsia="zh-CN"/>
        </w:rPr>
        <w:t>（网办网址：http://gzlss.hrssgz.gov.cn/cas/login）</w:t>
      </w:r>
      <w:r>
        <w:rPr>
          <w:sz w:val="24"/>
          <w:szCs w:val="24"/>
        </w:rPr>
        <w:t>，点击菜单</w:t>
      </w:r>
      <w:r>
        <w:rPr>
          <w:rFonts w:hint="eastAsia"/>
          <w:sz w:val="24"/>
          <w:szCs w:val="24"/>
        </w:rPr>
        <w:t>劳动</w:t>
      </w:r>
      <w:r>
        <w:rPr>
          <w:sz w:val="24"/>
          <w:szCs w:val="24"/>
        </w:rPr>
        <w:t>就业—</w:t>
      </w:r>
      <w:r>
        <w:rPr>
          <w:rFonts w:hint="eastAsia"/>
          <w:sz w:val="24"/>
          <w:szCs w:val="24"/>
        </w:rPr>
        <w:t>专项</w:t>
      </w:r>
      <w:r>
        <w:rPr>
          <w:sz w:val="24"/>
          <w:szCs w:val="24"/>
        </w:rPr>
        <w:t>资金—</w:t>
      </w:r>
      <w:r>
        <w:rPr>
          <w:rFonts w:hint="eastAsia"/>
          <w:sz w:val="24"/>
          <w:szCs w:val="24"/>
        </w:rPr>
        <w:t>专项</w:t>
      </w:r>
      <w:r>
        <w:rPr>
          <w:sz w:val="24"/>
          <w:szCs w:val="24"/>
        </w:rPr>
        <w:t>资金申请</w:t>
      </w:r>
      <w:r>
        <w:rPr>
          <w:rFonts w:hint="eastAsia"/>
          <w:sz w:val="24"/>
          <w:szCs w:val="24"/>
        </w:rPr>
        <w:t>，选择</w:t>
      </w:r>
      <w:r>
        <w:rPr>
          <w:sz w:val="24"/>
          <w:szCs w:val="24"/>
        </w:rPr>
        <w:t>补贴类型为</w:t>
      </w:r>
      <w:r>
        <w:rPr>
          <w:rFonts w:hint="eastAsia"/>
          <w:sz w:val="24"/>
          <w:szCs w:val="24"/>
        </w:rPr>
        <w:t>招用工社保补贴和岗位补贴</w:t>
      </w:r>
      <w:r>
        <w:rPr>
          <w:sz w:val="24"/>
          <w:szCs w:val="24"/>
        </w:rPr>
        <w:t xml:space="preserve"> 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8861425" cy="4357370"/>
            <wp:effectExtent l="0" t="0" r="15875" b="5080"/>
            <wp:docPr id="2" name="图片 2" descr="164497590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4975901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1425" cy="43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iCs/>
          <w:color w:val="FF0000"/>
          <w:sz w:val="24"/>
          <w:szCs w:val="24"/>
        </w:rPr>
      </w:pPr>
      <w:r>
        <w:drawing>
          <wp:inline distT="0" distB="0" distL="114300" distR="114300">
            <wp:extent cx="7817485" cy="3692525"/>
            <wp:effectExtent l="0" t="0" r="12065" b="3175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7485" cy="369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3"/>
        </w:numPr>
        <w:tabs>
          <w:tab w:val="clear" w:pos="860"/>
        </w:tabs>
        <w:ind w:left="0" w:firstLine="860"/>
        <w:rPr>
          <w:sz w:val="24"/>
          <w:szCs w:val="24"/>
        </w:rPr>
      </w:pPr>
      <w:bookmarkStart w:id="0" w:name="OLE_LINK1"/>
      <w:r>
        <w:rPr>
          <w:rFonts w:hint="eastAsia"/>
          <w:sz w:val="24"/>
          <w:szCs w:val="24"/>
        </w:rPr>
        <w:t>第二步：点击下一步，勾选阅读声明，进入申请页面，</w:t>
      </w:r>
      <w:r>
        <w:rPr>
          <w:rFonts w:hint="eastAsia"/>
          <w:sz w:val="24"/>
          <w:szCs w:val="24"/>
          <w:lang w:val="en-US" w:eastAsia="zh-CN"/>
        </w:rPr>
        <w:t>假如此单位银行信息不完整，会提示：</w:t>
      </w:r>
    </w:p>
    <w:p>
      <w:r>
        <w:drawing>
          <wp:inline distT="0" distB="0" distL="114300" distR="114300">
            <wp:extent cx="9048115" cy="3867150"/>
            <wp:effectExtent l="0" t="0" r="635" b="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4811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>
      <w:pPr>
        <w:rPr>
          <w:iCs/>
          <w:sz w:val="24"/>
          <w:szCs w:val="24"/>
        </w:rPr>
      </w:pPr>
    </w:p>
    <w:p>
      <w:pPr>
        <w:pStyle w:val="3"/>
        <w:numPr>
          <w:ilvl w:val="0"/>
          <w:numId w:val="3"/>
        </w:numPr>
        <w:tabs>
          <w:tab w:val="clear" w:pos="860"/>
        </w:tabs>
        <w:rPr>
          <w:sz w:val="24"/>
          <w:szCs w:val="24"/>
        </w:rPr>
      </w:pPr>
      <w:bookmarkStart w:id="1" w:name="OLE_LINK3"/>
      <w:r>
        <w:rPr>
          <w:rFonts w:hint="eastAsia"/>
          <w:sz w:val="24"/>
          <w:szCs w:val="24"/>
        </w:rPr>
        <w:t>第三</w:t>
      </w:r>
      <w:r>
        <w:rPr>
          <w:sz w:val="24"/>
          <w:szCs w:val="24"/>
        </w:rPr>
        <w:t>步：点击</w:t>
      </w:r>
      <w:bookmarkEnd w:id="1"/>
      <w:r>
        <w:rPr>
          <w:rFonts w:hint="eastAsia"/>
          <w:sz w:val="24"/>
          <w:szCs w:val="24"/>
          <w:lang w:val="en-US" w:eastAsia="zh-CN"/>
        </w:rPr>
        <w:t>确定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val="en-US" w:eastAsia="zh-CN"/>
        </w:rPr>
        <w:t>会到单位信息完善页面</w:t>
      </w:r>
      <w:r>
        <w:rPr>
          <w:rFonts w:hint="eastAsia"/>
          <w:sz w:val="24"/>
          <w:szCs w:val="24"/>
        </w:rPr>
        <w:t>。</w:t>
      </w:r>
    </w:p>
    <w:p>
      <w:r>
        <w:drawing>
          <wp:inline distT="0" distB="0" distL="114300" distR="114300">
            <wp:extent cx="9043035" cy="3982720"/>
            <wp:effectExtent l="0" t="0" r="5715" b="17780"/>
            <wp:docPr id="1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43035" cy="398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iCs/>
          <w:sz w:val="24"/>
          <w:szCs w:val="24"/>
        </w:rPr>
      </w:pPr>
    </w:p>
    <w:p>
      <w:pPr>
        <w:rPr>
          <w:iCs/>
          <w:sz w:val="24"/>
          <w:szCs w:val="24"/>
        </w:rPr>
      </w:pPr>
    </w:p>
    <w:p>
      <w:pPr>
        <w:pStyle w:val="3"/>
        <w:numPr>
          <w:ilvl w:val="0"/>
          <w:numId w:val="3"/>
        </w:numPr>
        <w:tabs>
          <w:tab w:val="clear" w:pos="860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  <w:lang w:val="en-US" w:eastAsia="zh-CN"/>
        </w:rPr>
        <w:t>四</w:t>
      </w:r>
      <w:r>
        <w:rPr>
          <w:sz w:val="24"/>
          <w:szCs w:val="24"/>
        </w:rPr>
        <w:t>步：</w:t>
      </w:r>
      <w:r>
        <w:rPr>
          <w:rFonts w:hint="eastAsia"/>
          <w:sz w:val="24"/>
          <w:szCs w:val="24"/>
          <w:lang w:val="en-US" w:eastAsia="zh-CN"/>
        </w:rPr>
        <w:t>若单位信息已经完善，直接进入填报页面</w:t>
      </w:r>
      <w:r>
        <w:rPr>
          <w:rFonts w:hint="eastAsia"/>
          <w:sz w:val="24"/>
          <w:szCs w:val="24"/>
        </w:rPr>
        <w:t>。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按实际情况填报即可。</w:t>
      </w:r>
    </w:p>
    <w:p>
      <w:r>
        <w:drawing>
          <wp:inline distT="0" distB="0" distL="114300" distR="114300">
            <wp:extent cx="9046210" cy="4279900"/>
            <wp:effectExtent l="0" t="0" r="2540" b="6350"/>
            <wp:docPr id="2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46210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iCs/>
          <w:sz w:val="24"/>
          <w:szCs w:val="24"/>
        </w:rPr>
      </w:pPr>
    </w:p>
    <w:p>
      <w:pPr>
        <w:pStyle w:val="3"/>
        <w:numPr>
          <w:ilvl w:val="1"/>
          <w:numId w:val="0"/>
        </w:numPr>
        <w:tabs>
          <w:tab w:val="clear" w:pos="860"/>
        </w:tabs>
        <w:ind w:leftChars="0"/>
        <w:rPr>
          <w:sz w:val="24"/>
          <w:szCs w:val="24"/>
        </w:rPr>
      </w:pPr>
      <w:bookmarkStart w:id="2" w:name="OLE_LINK7"/>
      <w:r>
        <w:rPr>
          <w:rFonts w:hint="eastAsia"/>
          <w:iCs/>
          <w:sz w:val="24"/>
          <w:szCs w:val="24"/>
          <w:lang w:val="en-US" w:eastAsia="zh-CN"/>
        </w:rPr>
        <w:t>5.</w:t>
      </w:r>
      <w:r>
        <w:rPr>
          <w:rFonts w:hint="eastAsia"/>
          <w:iCs/>
          <w:sz w:val="24"/>
          <w:szCs w:val="24"/>
        </w:rPr>
        <w:t>第五</w:t>
      </w:r>
      <w:r>
        <w:rPr>
          <w:iCs/>
          <w:sz w:val="24"/>
          <w:szCs w:val="24"/>
        </w:rPr>
        <w:t>步：</w:t>
      </w:r>
      <w:r>
        <w:rPr>
          <w:rFonts w:hint="eastAsia"/>
          <w:iCs/>
          <w:sz w:val="24"/>
          <w:szCs w:val="24"/>
        </w:rPr>
        <w:t>确认无误可以点击提交按钮直接提交，也可以</w:t>
      </w:r>
      <w:r>
        <w:rPr>
          <w:rFonts w:hint="eastAsia"/>
          <w:iCs/>
          <w:sz w:val="24"/>
          <w:szCs w:val="24"/>
          <w:lang w:val="en-US" w:eastAsia="zh-CN"/>
        </w:rPr>
        <w:t>保持</w:t>
      </w:r>
      <w:r>
        <w:rPr>
          <w:rFonts w:hint="eastAsia"/>
          <w:iCs/>
          <w:sz w:val="24"/>
          <w:szCs w:val="24"/>
        </w:rPr>
        <w:t>以后到提交菜单提交。</w:t>
      </w:r>
    </w:p>
    <w:bookmarkEnd w:id="2"/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drawing>
          <wp:inline distT="0" distB="0" distL="114300" distR="114300">
            <wp:extent cx="9057640" cy="4083685"/>
            <wp:effectExtent l="0" t="0" r="10160" b="12065"/>
            <wp:docPr id="2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57640" cy="408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</w:p>
    <w:p>
      <w:pPr>
        <w:pStyle w:val="3"/>
        <w:keepNext/>
        <w:keepLines w:val="0"/>
        <w:pageBreakBefore w:val="0"/>
        <w:widowControl/>
        <w:numPr>
          <w:ilvl w:val="1"/>
          <w:numId w:val="0"/>
        </w:numPr>
        <w:tabs>
          <w:tab w:val="clear" w:pos="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862" w:left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6.</w:t>
      </w:r>
      <w:r>
        <w:rPr>
          <w:rFonts w:hint="eastAsia"/>
          <w:sz w:val="24"/>
          <w:szCs w:val="24"/>
        </w:rPr>
        <w:t>专项资金查询</w:t>
      </w:r>
    </w:p>
    <w:p>
      <w:pPr>
        <w:pStyle w:val="3"/>
        <w:keepNext/>
        <w:keepLines w:val="0"/>
        <w:pageBreakBefore w:val="0"/>
        <w:widowControl/>
        <w:numPr>
          <w:ilvl w:val="1"/>
          <w:numId w:val="0"/>
        </w:numPr>
        <w:tabs>
          <w:tab w:val="clear" w:pos="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862" w:left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在这里可以查询前面所有操作过的业务，包括已提交和未提交的业务。并可以看到业务当前的审核状态。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sz w:val="24"/>
          <w:szCs w:val="24"/>
        </w:rPr>
        <w:drawing>
          <wp:inline distT="0" distB="0" distL="114300" distR="114300">
            <wp:extent cx="7773670" cy="4604385"/>
            <wp:effectExtent l="0" t="0" r="17780" b="571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4050" cy="460458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+bJUzAgAAYw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OKdFMoeKXH98v&#10;P39ffn0jOINAtfVzxO0sIkPzzjRom+Hc4zDybgqn4heMCPyQ93yVVzSB8HhpNpnNUrg4fMMG+MnT&#10;det8eC+MItHIqEP9WlnZaetDFzqExGzabCop2xpKTeqM3kzf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+bJ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0B2EC8"/>
    <w:multiLevelType w:val="multilevel"/>
    <w:tmpl w:val="080B2EC8"/>
    <w:lvl w:ilvl="0" w:tentative="0">
      <w:start w:val="1"/>
      <w:numFmt w:val="ideographDigital"/>
      <w:lvlText w:val="第%1章"/>
      <w:lvlJc w:val="left"/>
      <w:pPr>
        <w:tabs>
          <w:tab w:val="left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 w:val="16"/>
        <w:szCs w:val="16"/>
        <w:u w:val="none" w:color="000000"/>
        <w:shd w:val="clear" w:color="000000" w:fill="000000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isLgl/>
      <w:lvlText w:val="%1.%2"/>
      <w:lvlJc w:val="left"/>
      <w:pPr>
        <w:tabs>
          <w:tab w:val="left" w:pos="860"/>
        </w:tabs>
        <w:ind w:left="860" w:hanging="576"/>
      </w:pPr>
      <w:rPr>
        <w:rFonts w:hint="eastAsia"/>
        <w:lang w:val="en-US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1855"/>
        </w:tabs>
        <w:ind w:left="1855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864" w:hanging="8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 w:val="16"/>
        <w:szCs w:val="16"/>
        <w:u w:val="none" w:color="000000"/>
        <w:shd w:val="clear" w:color="000000" w:fill="000000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  <w:lang w:val="en-US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1AA99A10"/>
    <w:multiLevelType w:val="singleLevel"/>
    <w:tmpl w:val="1AA99A1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36285F7D"/>
    <w:multiLevelType w:val="multilevel"/>
    <w:tmpl w:val="36285F7D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C0012"/>
    <w:rsid w:val="008E55CA"/>
    <w:rsid w:val="00EA322C"/>
    <w:rsid w:val="037F29CF"/>
    <w:rsid w:val="06415A28"/>
    <w:rsid w:val="07765987"/>
    <w:rsid w:val="077B56EA"/>
    <w:rsid w:val="08FC0012"/>
    <w:rsid w:val="09240692"/>
    <w:rsid w:val="0A5340C5"/>
    <w:rsid w:val="15B13CCD"/>
    <w:rsid w:val="17A816F0"/>
    <w:rsid w:val="1977459B"/>
    <w:rsid w:val="1B0C1CE3"/>
    <w:rsid w:val="20600DC8"/>
    <w:rsid w:val="206F079A"/>
    <w:rsid w:val="21107A91"/>
    <w:rsid w:val="2EEB5E37"/>
    <w:rsid w:val="301A633E"/>
    <w:rsid w:val="38EE1221"/>
    <w:rsid w:val="442516F4"/>
    <w:rsid w:val="47D672C7"/>
    <w:rsid w:val="4BC339D8"/>
    <w:rsid w:val="53B34D6B"/>
    <w:rsid w:val="585E5718"/>
    <w:rsid w:val="59F85A88"/>
    <w:rsid w:val="5A57441C"/>
    <w:rsid w:val="5BFD43C9"/>
    <w:rsid w:val="5F9D6A5A"/>
    <w:rsid w:val="701D5964"/>
    <w:rsid w:val="73784884"/>
    <w:rsid w:val="797D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widowControl/>
      <w:numPr>
        <w:ilvl w:val="1"/>
        <w:numId w:val="1"/>
      </w:numPr>
      <w:spacing w:before="240" w:after="60" w:line="360" w:lineRule="auto"/>
      <w:jc w:val="left"/>
      <w:outlineLvl w:val="1"/>
    </w:pPr>
    <w:rPr>
      <w:b/>
      <w:bCs/>
      <w:kern w:val="0"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区人力资源和社会保障局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2022-02-15T06:29:00Z</dcterms:created>
  <dc:creator>华哥</dc:creator>
  <cp:lastModifiedBy>123</cp:lastModifiedBy>
  <cp:lastPrinted>2022-02-17T06:52:00Z</cp:lastPrinted>
  <dcterms:modified xsi:type="dcterms:W3CDTF">2022-02-24T09:59:49Z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