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>用户需求书</w:t>
      </w:r>
    </w:p>
    <w:p>
      <w:pPr>
        <w:adjustRightInd w:val="0"/>
        <w:snapToGrid w:val="0"/>
        <w:spacing w:line="360" w:lineRule="auto"/>
        <w:ind w:left="517" w:right="315" w:rightChars="150" w:hanging="517" w:hangingChars="245"/>
        <w:rPr>
          <w:rFonts w:ascii="宋体"/>
          <w:b/>
          <w:bCs/>
          <w:szCs w:val="20"/>
        </w:rPr>
      </w:pPr>
      <w:r>
        <w:rPr>
          <w:rFonts w:hint="eastAsia" w:ascii="宋体"/>
          <w:b/>
          <w:bCs/>
          <w:szCs w:val="20"/>
        </w:rPr>
        <w:t>说明：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/>
          <w:b/>
          <w:bCs/>
          <w:szCs w:val="20"/>
        </w:rPr>
      </w:pPr>
      <w:r>
        <w:rPr>
          <w:rFonts w:hint="eastAsia" w:ascii="宋体"/>
          <w:b/>
          <w:bCs/>
          <w:szCs w:val="20"/>
        </w:rPr>
        <w:t xml:space="preserve">投标人须对本项目为单位的服务进行整体响应，任何只对其中一部分内容进行的响应都被视为无效响应。 </w:t>
      </w:r>
    </w:p>
    <w:tbl>
      <w:tblPr>
        <w:tblStyle w:val="4"/>
        <w:tblW w:w="85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2926"/>
        <w:gridCol w:w="25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61" w:hRule="atLeast"/>
          <w:jc w:val="center"/>
        </w:trPr>
        <w:tc>
          <w:tcPr>
            <w:tcW w:w="3119" w:type="dxa"/>
            <w:shd w:val="clear" w:color="auto" w:fill="EEECE1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采购内容</w:t>
            </w:r>
          </w:p>
        </w:tc>
        <w:tc>
          <w:tcPr>
            <w:tcW w:w="2926" w:type="dxa"/>
            <w:shd w:val="clear" w:color="auto" w:fill="EEECE1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完成期</w:t>
            </w:r>
          </w:p>
        </w:tc>
        <w:tc>
          <w:tcPr>
            <w:tcW w:w="2541" w:type="dxa"/>
            <w:shd w:val="clear" w:color="auto" w:fill="EEECE1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最高限价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3119" w:type="dxa"/>
            <w:vAlign w:val="center"/>
          </w:tcPr>
          <w:p>
            <w:pPr>
              <w:jc w:val="center"/>
              <w:rPr>
                <w:rFonts w:hint="eastAsia" w:asci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/>
                <w:bCs/>
                <w:szCs w:val="21"/>
              </w:rPr>
              <w:t>广州市花都区</w:t>
            </w:r>
            <w:r>
              <w:rPr>
                <w:rFonts w:hint="eastAsia" w:ascii="宋体"/>
                <w:bCs/>
                <w:szCs w:val="21"/>
                <w:lang w:eastAsia="zh-CN"/>
              </w:rPr>
              <w:t>花东镇侨文化中心</w:t>
            </w:r>
            <w:r>
              <w:rPr>
                <w:rFonts w:hint="eastAsia" w:ascii="宋体"/>
                <w:bCs/>
                <w:color w:val="auto"/>
                <w:szCs w:val="21"/>
                <w:lang w:eastAsia="zh-CN"/>
              </w:rPr>
              <w:t>铸牢中华民族共同体意识文化</w:t>
            </w:r>
            <w:r>
              <w:rPr>
                <w:rFonts w:hint="eastAsia" w:ascii="宋体"/>
                <w:bCs/>
                <w:color w:val="auto"/>
                <w:szCs w:val="21"/>
              </w:rPr>
              <w:t>氛围提升设计</w:t>
            </w:r>
            <w:r>
              <w:rPr>
                <w:rFonts w:hint="eastAsia" w:ascii="宋体"/>
                <w:bCs/>
                <w:color w:val="auto"/>
                <w:szCs w:val="21"/>
                <w:lang w:eastAsia="zh-CN"/>
              </w:rPr>
              <w:t>布展</w:t>
            </w:r>
          </w:p>
        </w:tc>
        <w:tc>
          <w:tcPr>
            <w:tcW w:w="2926" w:type="dxa"/>
            <w:vAlign w:val="center"/>
          </w:tcPr>
          <w:p>
            <w:pPr>
              <w:pStyle w:val="6"/>
              <w:spacing w:line="240" w:lineRule="auto"/>
              <w:ind w:firstLine="120"/>
              <w:rPr>
                <w:rFonts w:ascii="宋体" w:hAnsi="宋体"/>
                <w:snapToGrid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snapToGrid/>
                <w:spacing w:val="0"/>
                <w:kern w:val="2"/>
                <w:sz w:val="21"/>
                <w:szCs w:val="21"/>
              </w:rPr>
              <w:t>自合同签定之日起20天内完成并交付</w:t>
            </w:r>
          </w:p>
        </w:tc>
        <w:tc>
          <w:tcPr>
            <w:tcW w:w="2541" w:type="dxa"/>
            <w:vAlign w:val="center"/>
          </w:tcPr>
          <w:p>
            <w:pPr>
              <w:pStyle w:val="6"/>
              <w:spacing w:line="440" w:lineRule="exact"/>
              <w:ind w:firstLine="120"/>
              <w:rPr>
                <w:rFonts w:ascii="宋体" w:hAnsi="宋体"/>
                <w:snapToGrid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snapToGrid/>
                <w:spacing w:val="0"/>
                <w:kern w:val="2"/>
                <w:sz w:val="21"/>
                <w:szCs w:val="21"/>
              </w:rPr>
              <w:t>人民币</w:t>
            </w:r>
            <w:r>
              <w:rPr>
                <w:rFonts w:hint="eastAsia" w:ascii="宋体" w:hAnsi="宋体"/>
                <w:snapToGrid/>
                <w:spacing w:val="0"/>
                <w:kern w:val="2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napToGrid/>
                <w:spacing w:val="0"/>
                <w:kern w:val="2"/>
                <w:sz w:val="21"/>
                <w:szCs w:val="21"/>
              </w:rPr>
              <w:t>万元</w:t>
            </w:r>
          </w:p>
        </w:tc>
      </w:tr>
    </w:tbl>
    <w:p>
      <w:pPr>
        <w:pStyle w:val="3"/>
        <w:numPr>
          <w:ilvl w:val="0"/>
          <w:numId w:val="2"/>
        </w:numPr>
        <w:tabs>
          <w:tab w:val="left" w:pos="540"/>
        </w:tabs>
        <w:autoSpaceDE/>
        <w:autoSpaceDN/>
        <w:snapToGrid w:val="0"/>
        <w:spacing w:line="360" w:lineRule="auto"/>
        <w:jc w:val="both"/>
        <w:rPr>
          <w:rFonts w:asciiTheme="minorEastAsia" w:hAnsiTheme="minorEastAsia"/>
          <w:b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项目概况</w:t>
      </w:r>
    </w:p>
    <w:p>
      <w:pPr>
        <w:spacing w:line="360" w:lineRule="auto"/>
        <w:rPr>
          <w:rFonts w:cs="宋体" w:asciiTheme="minorEastAsia" w:hAnsiTheme="minorEastAsia" w:eastAsiaTheme="minorEastAsia"/>
          <w:color w:val="auto"/>
          <w:szCs w:val="21"/>
        </w:rPr>
      </w:pPr>
      <w:r>
        <w:rPr>
          <w:rFonts w:hint="eastAsia" w:cs="宋体" w:asciiTheme="minorEastAsia" w:hAnsiTheme="minorEastAsia" w:eastAsiaTheme="minorEastAsia"/>
          <w:szCs w:val="21"/>
        </w:rPr>
        <w:t>1.</w:t>
      </w:r>
      <w:r>
        <w:rPr>
          <w:rFonts w:hint="eastAsia" w:cs="宋体" w:asciiTheme="minorEastAsia" w:hAnsiTheme="minorEastAsia" w:eastAsiaTheme="minorEastAsia"/>
          <w:color w:val="auto"/>
          <w:szCs w:val="21"/>
        </w:rPr>
        <w:t>本次招标范围为：</w:t>
      </w:r>
      <w:r>
        <w:rPr>
          <w:rFonts w:hint="eastAsia" w:ascii="宋体"/>
          <w:bCs/>
          <w:color w:val="auto"/>
          <w:szCs w:val="21"/>
        </w:rPr>
        <w:t>广州市花都区</w:t>
      </w:r>
      <w:r>
        <w:rPr>
          <w:rFonts w:hint="eastAsia" w:ascii="宋体"/>
          <w:bCs/>
          <w:color w:val="auto"/>
          <w:szCs w:val="21"/>
          <w:lang w:eastAsia="zh-CN"/>
        </w:rPr>
        <w:t>花东镇侨文化中心铸牢中华民族共同体意识</w:t>
      </w:r>
      <w:r>
        <w:rPr>
          <w:rFonts w:hint="eastAsia" w:ascii="宋体"/>
          <w:bCs/>
          <w:color w:val="auto"/>
          <w:szCs w:val="21"/>
        </w:rPr>
        <w:t>文化氛围提升设计</w:t>
      </w:r>
      <w:r>
        <w:rPr>
          <w:rFonts w:hint="eastAsia" w:ascii="宋体"/>
          <w:bCs/>
          <w:color w:val="auto"/>
          <w:szCs w:val="21"/>
          <w:lang w:eastAsia="zh-CN"/>
        </w:rPr>
        <w:t>布展，包含对项目的设计、广告制作、安装等</w:t>
      </w:r>
      <w:r>
        <w:rPr>
          <w:rFonts w:hint="eastAsia" w:cs="宋体" w:asciiTheme="minorEastAsia" w:hAnsiTheme="minorEastAsia" w:eastAsiaTheme="minorEastAsia"/>
          <w:color w:val="auto"/>
          <w:szCs w:val="21"/>
        </w:rPr>
        <w:t>。</w:t>
      </w:r>
    </w:p>
    <w:p>
      <w:pPr>
        <w:spacing w:line="360" w:lineRule="auto"/>
        <w:rPr>
          <w:rFonts w:hint="eastAsia" w:cs="宋体" w:asciiTheme="minorEastAsia" w:hAnsiTheme="minorEastAsia" w:eastAsiaTheme="minorEastAsia"/>
          <w:color w:val="auto"/>
          <w:szCs w:val="21"/>
          <w:lang w:eastAsia="zh-CN"/>
        </w:rPr>
      </w:pPr>
      <w:r>
        <w:rPr>
          <w:rFonts w:hint="eastAsia" w:cs="宋体" w:asciiTheme="minorEastAsia" w:hAnsiTheme="minorEastAsia" w:eastAsiaTheme="minorEastAsia"/>
          <w:color w:val="auto"/>
          <w:szCs w:val="21"/>
          <w:lang w:val="en-US" w:eastAsia="zh-CN"/>
        </w:rPr>
        <w:t>2</w:t>
      </w:r>
      <w:r>
        <w:rPr>
          <w:rFonts w:hint="eastAsia" w:cs="宋体" w:asciiTheme="minorEastAsia" w:hAnsiTheme="minorEastAsia" w:eastAsiaTheme="minorEastAsia"/>
          <w:color w:val="auto"/>
          <w:szCs w:val="21"/>
        </w:rPr>
        <w:t>.项目地点</w:t>
      </w:r>
      <w:r>
        <w:rPr>
          <w:rFonts w:hint="eastAsia" w:cs="宋体" w:asciiTheme="minorEastAsia" w:hAnsiTheme="minorEastAsia" w:eastAsiaTheme="minorEastAsia"/>
          <w:color w:val="auto"/>
          <w:szCs w:val="21"/>
          <w:lang w:eastAsia="zh-CN"/>
        </w:rPr>
        <w:t>：</w:t>
      </w:r>
      <w:r>
        <w:rPr>
          <w:rFonts w:hint="eastAsia" w:cs="宋体" w:asciiTheme="minorEastAsia" w:hAnsiTheme="minorEastAsia" w:eastAsiaTheme="minorEastAsia"/>
          <w:color w:val="auto"/>
          <w:szCs w:val="21"/>
        </w:rPr>
        <w:t>位于广州市花都区花东镇</w:t>
      </w:r>
      <w:r>
        <w:rPr>
          <w:rFonts w:hint="eastAsia" w:cs="宋体" w:asciiTheme="minorEastAsia" w:hAnsiTheme="minorEastAsia" w:eastAsiaTheme="minorEastAsia"/>
          <w:color w:val="auto"/>
          <w:szCs w:val="21"/>
          <w:lang w:eastAsia="zh-CN"/>
        </w:rPr>
        <w:t>。</w:t>
      </w:r>
    </w:p>
    <w:p>
      <w:pPr>
        <w:spacing w:line="360" w:lineRule="auto"/>
        <w:rPr>
          <w:rFonts w:hint="default" w:cs="宋体" w:asciiTheme="minorEastAsia" w:hAnsiTheme="minorEastAsia" w:eastAsiaTheme="minorEastAsia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auto"/>
          <w:szCs w:val="21"/>
          <w:lang w:val="en-US" w:eastAsia="zh-CN"/>
        </w:rPr>
        <w:t>3.项目目标：将广州市花都区花东镇侨文化中心打</w:t>
      </w:r>
      <w:r>
        <w:rPr>
          <w:rFonts w:hint="eastAsia" w:cs="宋体" w:asciiTheme="minorEastAsia" w:hAnsiTheme="minorEastAsia" w:eastAsiaTheme="minorEastAsia"/>
          <w:szCs w:val="21"/>
          <w:lang w:val="en-US" w:eastAsia="zh-CN"/>
        </w:rPr>
        <w:t>造成花都区民族工作的亮点，促进侨乡文化建设。</w:t>
      </w:r>
    </w:p>
    <w:p>
      <w:pPr>
        <w:pStyle w:val="3"/>
        <w:numPr>
          <w:ilvl w:val="0"/>
          <w:numId w:val="2"/>
        </w:numPr>
        <w:tabs>
          <w:tab w:val="left" w:pos="540"/>
        </w:tabs>
        <w:autoSpaceDE/>
        <w:autoSpaceDN/>
        <w:snapToGrid w:val="0"/>
        <w:spacing w:line="360" w:lineRule="auto"/>
        <w:jc w:val="both"/>
        <w:rPr>
          <w:rFonts w:cs="宋体" w:asciiTheme="minorEastAsia" w:hAnsiTheme="minorEastAsia"/>
          <w:b/>
          <w:szCs w:val="21"/>
        </w:rPr>
      </w:pPr>
      <w:r>
        <w:rPr>
          <w:rFonts w:hint="eastAsia" w:cs="宋体" w:asciiTheme="minorEastAsia" w:hAnsiTheme="minorEastAsia"/>
          <w:b/>
          <w:szCs w:val="21"/>
        </w:rPr>
        <w:t>具体内容</w:t>
      </w:r>
    </w:p>
    <w:tbl>
      <w:tblPr>
        <w:tblStyle w:val="4"/>
        <w:tblW w:w="8118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076"/>
        <w:gridCol w:w="1121"/>
        <w:gridCol w:w="4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20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项目内容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数量</w:t>
            </w:r>
          </w:p>
        </w:tc>
        <w:tc>
          <w:tcPr>
            <w:tcW w:w="406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0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民族团结文化墙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1项</w:t>
            </w:r>
          </w:p>
        </w:tc>
        <w:tc>
          <w:tcPr>
            <w:tcW w:w="4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材质：PVC+喷绘+亚克力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尺寸：L320*H180cm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20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上墙制度牌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</w:t>
            </w:r>
          </w:p>
        </w:tc>
        <w:tc>
          <w:tcPr>
            <w:tcW w:w="4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材质：PVC+喷绘+亚克力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尺寸：L70*H130cm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0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56个民族文化墙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1项</w:t>
            </w:r>
          </w:p>
        </w:tc>
        <w:tc>
          <w:tcPr>
            <w:tcW w:w="4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材质：PVC雕刻+亚克力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 L330*H116cm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20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活动风采文化墙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1项</w:t>
            </w:r>
          </w:p>
        </w:tc>
        <w:tc>
          <w:tcPr>
            <w:tcW w:w="4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材质：PVC雕刻+亚克力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尺寸：L350*H125cm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文化氛围油画布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1项</w:t>
            </w:r>
          </w:p>
        </w:tc>
        <w:tc>
          <w:tcPr>
            <w:tcW w:w="4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材质：油画布喷绘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尺寸：L360*H150cm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屏风隔墙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1项</w:t>
            </w:r>
          </w:p>
        </w:tc>
        <w:tc>
          <w:tcPr>
            <w:tcW w:w="4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材质：铝方通+木板+喷漆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尺寸：L3360*H330cm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widowControl/>
              <w:ind w:firstLine="210" w:firstLineChars="1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4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尺寸：H100*W40*L70cm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上墙文化1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1项</w:t>
            </w:r>
          </w:p>
        </w:tc>
        <w:tc>
          <w:tcPr>
            <w:tcW w:w="4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材质：PVC雕刻+亚克力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尺寸：L80*H170cm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隐形门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4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尺寸：L96*H210cm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定制墙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展示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柜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1项</w:t>
            </w:r>
          </w:p>
        </w:tc>
        <w:tc>
          <w:tcPr>
            <w:tcW w:w="4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材质：实木颗粒板+饰面板+灯带+金属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尺寸：L550*H300cm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上墙文化2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1项</w:t>
            </w:r>
          </w:p>
        </w:tc>
        <w:tc>
          <w:tcPr>
            <w:tcW w:w="4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材质：PVC雕刻+亚克力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尺寸：L260*H100cm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窗户花雕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4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材质：实木雕刻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尺寸：L410*H90cm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绿植盆摘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2盆</w:t>
            </w:r>
          </w:p>
        </w:tc>
        <w:tc>
          <w:tcPr>
            <w:tcW w:w="4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根据现场及设计案确定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户外宣传栏海报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  <w:tc>
          <w:tcPr>
            <w:tcW w:w="4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材质：背胶写真+设计+运输安装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尺寸：L100*H120cm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玻璃贴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  <w:tc>
          <w:tcPr>
            <w:tcW w:w="4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材质：单孔透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尺寸：L130*H230cm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花东镇民族之家牌匾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4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材质：不锈钢丝印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尺寸：L40*H30cm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书架文化氛围1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  <w:tc>
          <w:tcPr>
            <w:tcW w:w="4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材质：PVC喷绘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尺寸：L44*H70cm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书架文化氛围2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  <w:tc>
          <w:tcPr>
            <w:tcW w:w="4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材质：PVC喷绘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尺寸：L30*H80cm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阅读墙1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1项</w:t>
            </w:r>
          </w:p>
        </w:tc>
        <w:tc>
          <w:tcPr>
            <w:tcW w:w="4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材质：油画布喷绘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尺寸：L400*H240cm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阅读墙2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1项</w:t>
            </w:r>
          </w:p>
        </w:tc>
        <w:tc>
          <w:tcPr>
            <w:tcW w:w="4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材质：油画布喷绘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尺寸：L243*H160cm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安静标志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  <w:tc>
          <w:tcPr>
            <w:tcW w:w="4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材质：PVC喷绘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尺寸：L120*H30cm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提示牌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</w:t>
            </w:r>
          </w:p>
        </w:tc>
        <w:tc>
          <w:tcPr>
            <w:tcW w:w="4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材质：pvc+喷绘+制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尺寸：L50*H80cm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背景墙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1项</w:t>
            </w:r>
          </w:p>
        </w:tc>
        <w:tc>
          <w:tcPr>
            <w:tcW w:w="4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材质：pvc雕刻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尺寸：L70*H130cm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活动风采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  <w:tc>
          <w:tcPr>
            <w:tcW w:w="4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尺寸：L40* H120cm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墙面美观提升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4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根据现场及设计案确定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20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民族阁招牌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4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根据现场需要设计</w:t>
            </w:r>
          </w:p>
        </w:tc>
      </w:tr>
    </w:tbl>
    <w:p>
      <w:pPr>
        <w:pStyle w:val="3"/>
        <w:numPr>
          <w:ilvl w:val="0"/>
          <w:numId w:val="2"/>
        </w:numPr>
        <w:tabs>
          <w:tab w:val="left" w:pos="540"/>
        </w:tabs>
        <w:autoSpaceDE/>
        <w:autoSpaceDN/>
        <w:snapToGrid w:val="0"/>
        <w:spacing w:line="276" w:lineRule="auto"/>
        <w:jc w:val="both"/>
        <w:rPr>
          <w:rFonts w:asciiTheme="minorEastAsia" w:hAnsiTheme="minorEastAsia"/>
          <w:b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  <w:lang w:eastAsia="zh-CN"/>
        </w:rPr>
        <w:t>设计</w:t>
      </w:r>
      <w:r>
        <w:rPr>
          <w:rFonts w:hint="eastAsia" w:asciiTheme="minorEastAsia" w:hAnsiTheme="minorEastAsia"/>
          <w:b/>
          <w:bCs/>
          <w:szCs w:val="21"/>
        </w:rPr>
        <w:t>要求</w:t>
      </w:r>
    </w:p>
    <w:p>
      <w:pPr>
        <w:numPr>
          <w:ilvl w:val="0"/>
          <w:numId w:val="3"/>
        </w:numPr>
        <w:spacing w:line="360" w:lineRule="auto"/>
        <w:rPr>
          <w:rFonts w:cs="宋体"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szCs w:val="21"/>
        </w:rPr>
        <w:t>设计要重点突出，各区域之间要过渡自然，并采取多途径措施（如隔音措施、标示系统、参观人流等）减少不同人流冲突等方面的相互干扰。布局应满足国家相关的节能、环保和消防的要求，并充分考虑建筑设计的疏散和消防通道。</w:t>
      </w:r>
    </w:p>
    <w:p>
      <w:pPr>
        <w:numPr>
          <w:ilvl w:val="0"/>
          <w:numId w:val="3"/>
        </w:numPr>
        <w:spacing w:line="360" w:lineRule="auto"/>
        <w:rPr>
          <w:rFonts w:cs="宋体"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szCs w:val="21"/>
        </w:rPr>
        <w:t>应有主次层次，充分考虑不同人群需求。</w:t>
      </w:r>
    </w:p>
    <w:p>
      <w:pPr>
        <w:numPr>
          <w:ilvl w:val="0"/>
          <w:numId w:val="3"/>
        </w:numPr>
        <w:spacing w:line="360" w:lineRule="auto"/>
        <w:rPr>
          <w:rFonts w:cs="宋体"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szCs w:val="21"/>
        </w:rPr>
        <w:t>综合招标人的需求提出解决方案。</w:t>
      </w:r>
    </w:p>
    <w:p>
      <w:pPr>
        <w:numPr>
          <w:ilvl w:val="0"/>
          <w:numId w:val="3"/>
        </w:numPr>
        <w:spacing w:line="360" w:lineRule="auto"/>
        <w:rPr>
          <w:rFonts w:cs="宋体"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szCs w:val="21"/>
        </w:rPr>
        <w:t>综合考虑人性化设计、无障碍设计及其它必需配套设置的空间。</w:t>
      </w:r>
    </w:p>
    <w:p>
      <w:pPr>
        <w:pStyle w:val="3"/>
        <w:numPr>
          <w:ilvl w:val="0"/>
          <w:numId w:val="2"/>
        </w:numPr>
        <w:tabs>
          <w:tab w:val="left" w:pos="540"/>
        </w:tabs>
        <w:autoSpaceDE/>
        <w:autoSpaceDN/>
        <w:snapToGrid w:val="0"/>
        <w:spacing w:line="276" w:lineRule="auto"/>
        <w:jc w:val="both"/>
        <w:rPr>
          <w:rFonts w:asciiTheme="minorEastAsia" w:hAnsiTheme="minorEastAsia"/>
          <w:b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验收标准</w:t>
      </w:r>
      <w:r>
        <w:rPr>
          <w:rFonts w:hint="eastAsia" w:asciiTheme="minorEastAsia" w:hAnsiTheme="minorEastAsia"/>
          <w:b/>
          <w:bCs/>
          <w:szCs w:val="21"/>
          <w:lang w:eastAsia="zh-CN"/>
        </w:rPr>
        <w:t>及质量保修要求</w:t>
      </w:r>
    </w:p>
    <w:p>
      <w:pPr>
        <w:numPr>
          <w:ilvl w:val="0"/>
          <w:numId w:val="4"/>
        </w:numPr>
        <w:spacing w:line="360" w:lineRule="auto"/>
        <w:rPr>
          <w:rFonts w:cs="宋体"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szCs w:val="21"/>
        </w:rPr>
        <w:t>本项目质量目标为一次性通过验收合格，中标人须编制详细的制作方案，详细叙述关键部位的质量保证措施。</w:t>
      </w:r>
    </w:p>
    <w:p>
      <w:pPr>
        <w:numPr>
          <w:ilvl w:val="0"/>
          <w:numId w:val="4"/>
        </w:numPr>
        <w:spacing w:line="360" w:lineRule="auto"/>
        <w:rPr>
          <w:rFonts w:cs="宋体"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szCs w:val="21"/>
        </w:rPr>
        <w:t>中标人须无条件接受招标人及质量监督管理部门的质量检查和管理。</w:t>
      </w:r>
    </w:p>
    <w:p>
      <w:pPr>
        <w:numPr>
          <w:ilvl w:val="0"/>
          <w:numId w:val="4"/>
        </w:numPr>
        <w:spacing w:line="360" w:lineRule="auto"/>
        <w:rPr>
          <w:rFonts w:cs="宋体"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szCs w:val="21"/>
        </w:rPr>
        <w:t>中标人的所有方案须经招标人确认后方可实施。</w:t>
      </w:r>
    </w:p>
    <w:p>
      <w:pPr>
        <w:numPr>
          <w:ilvl w:val="0"/>
          <w:numId w:val="4"/>
        </w:numPr>
        <w:spacing w:line="360" w:lineRule="auto"/>
        <w:rPr>
          <w:rFonts w:cs="宋体"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szCs w:val="21"/>
        </w:rPr>
        <w:t>中标人须得到招标人及相关部门会审合格后的制作方案，方可进入下一步的布置。</w:t>
      </w:r>
    </w:p>
    <w:p>
      <w:pPr>
        <w:numPr>
          <w:ilvl w:val="0"/>
          <w:numId w:val="4"/>
        </w:numPr>
        <w:spacing w:line="360" w:lineRule="auto"/>
        <w:rPr>
          <w:rFonts w:cs="宋体"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szCs w:val="21"/>
        </w:rPr>
        <w:t>中标人制作完成的文化氛围布置服务内容必须达到招标文件规定，如不能达到，在招标人允许的一定时间内进行修改、完善，达到对展示效果的承诺。若经修改、完善后仍不能达到要求，则招标人有权不支付该展项的费用并处以罚款，相关责任由中标人承担。</w:t>
      </w:r>
    </w:p>
    <w:p>
      <w:pPr>
        <w:numPr>
          <w:ilvl w:val="0"/>
          <w:numId w:val="4"/>
        </w:numPr>
        <w:spacing w:line="360" w:lineRule="auto"/>
        <w:rPr>
          <w:rFonts w:cs="宋体"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szCs w:val="21"/>
        </w:rPr>
        <w:t>验收标准、技术要求均按国家标准和行业标准执行。</w:t>
      </w:r>
    </w:p>
    <w:p>
      <w:pPr>
        <w:numPr>
          <w:ilvl w:val="0"/>
          <w:numId w:val="4"/>
        </w:numPr>
        <w:spacing w:line="360" w:lineRule="auto"/>
        <w:rPr>
          <w:rFonts w:cs="宋体"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szCs w:val="21"/>
        </w:rPr>
        <w:t>所提供产品及服务壹年内应提供免费质保服务（人为损坏除外），服务响应期≤3天</w:t>
      </w:r>
      <w:r>
        <w:rPr>
          <w:rFonts w:hint="eastAsia" w:cs="宋体" w:asciiTheme="minorEastAsia" w:hAnsiTheme="minorEastAsia" w:eastAsiaTheme="minorEastAsia"/>
          <w:szCs w:val="21"/>
          <w:lang w:eastAsia="zh-CN"/>
        </w:rPr>
        <w:t>。</w:t>
      </w:r>
    </w:p>
    <w:p>
      <w:pPr>
        <w:pStyle w:val="3"/>
        <w:numPr>
          <w:ilvl w:val="0"/>
          <w:numId w:val="2"/>
        </w:numPr>
        <w:tabs>
          <w:tab w:val="left" w:pos="540"/>
        </w:tabs>
        <w:autoSpaceDE/>
        <w:autoSpaceDN/>
        <w:snapToGrid w:val="0"/>
        <w:spacing w:line="276" w:lineRule="auto"/>
        <w:jc w:val="both"/>
        <w:rPr>
          <w:rFonts w:asciiTheme="minorEastAsia" w:hAnsiTheme="minorEastAsia"/>
          <w:b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资料移交要求</w:t>
      </w:r>
    </w:p>
    <w:p>
      <w:pPr>
        <w:spacing w:line="360" w:lineRule="auto"/>
        <w:rPr>
          <w:rFonts w:cs="宋体"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szCs w:val="21"/>
        </w:rPr>
        <w:t>中标人应向招标人提供以下中文技术资料：</w:t>
      </w:r>
    </w:p>
    <w:p>
      <w:pPr>
        <w:numPr>
          <w:ilvl w:val="0"/>
          <w:numId w:val="5"/>
        </w:numPr>
        <w:tabs>
          <w:tab w:val="left" w:pos="567"/>
        </w:tabs>
        <w:spacing w:line="360" w:lineRule="auto"/>
        <w:rPr>
          <w:rFonts w:cs="宋体"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szCs w:val="21"/>
        </w:rPr>
        <w:t>相关货物/产品安装、调试、使用保养手册（或说明书）。</w:t>
      </w:r>
    </w:p>
    <w:p>
      <w:pPr>
        <w:numPr>
          <w:ilvl w:val="0"/>
          <w:numId w:val="5"/>
        </w:numPr>
        <w:tabs>
          <w:tab w:val="left" w:pos="567"/>
        </w:tabs>
        <w:spacing w:line="360" w:lineRule="auto"/>
        <w:rPr>
          <w:rFonts w:cs="宋体"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szCs w:val="21"/>
        </w:rPr>
        <w:t>设计方案，提供效果图、实施图、清单各两套。</w:t>
      </w:r>
    </w:p>
    <w:p>
      <w:pPr>
        <w:pStyle w:val="3"/>
        <w:numPr>
          <w:ilvl w:val="0"/>
          <w:numId w:val="2"/>
        </w:numPr>
        <w:tabs>
          <w:tab w:val="left" w:pos="540"/>
        </w:tabs>
        <w:autoSpaceDE/>
        <w:autoSpaceDN/>
        <w:snapToGrid w:val="0"/>
        <w:spacing w:line="360" w:lineRule="auto"/>
        <w:jc w:val="both"/>
        <w:rPr>
          <w:rFonts w:asciiTheme="minorEastAsia" w:hAnsiTheme="minorEastAsia"/>
          <w:b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付款方式</w:t>
      </w:r>
    </w:p>
    <w:p>
      <w:pPr>
        <w:pStyle w:val="3"/>
        <w:tabs>
          <w:tab w:val="left" w:pos="2340"/>
        </w:tabs>
        <w:snapToGrid w:val="0"/>
        <w:spacing w:line="360" w:lineRule="auto"/>
        <w:ind w:firstLine="525" w:firstLineChars="250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由招标人按下列程序付款：</w:t>
      </w:r>
    </w:p>
    <w:p>
      <w:pPr>
        <w:pStyle w:val="3"/>
        <w:numPr>
          <w:ilvl w:val="0"/>
          <w:numId w:val="6"/>
        </w:numPr>
        <w:tabs>
          <w:tab w:val="left" w:pos="2340"/>
        </w:tabs>
        <w:autoSpaceDE/>
        <w:autoSpaceDN/>
        <w:snapToGrid w:val="0"/>
        <w:spacing w:line="360" w:lineRule="auto"/>
        <w:jc w:val="both"/>
        <w:rPr>
          <w:rFonts w:cs="宋体" w:asciiTheme="minorEastAsia" w:hAnsiTheme="minorEastAsia"/>
          <w:szCs w:val="21"/>
        </w:rPr>
      </w:pPr>
      <w:r>
        <w:rPr>
          <w:rFonts w:hint="eastAsia" w:cs="宋体" w:asciiTheme="minorEastAsia" w:hAnsiTheme="minorEastAsia"/>
          <w:szCs w:val="21"/>
        </w:rPr>
        <w:t>项目设计经招标人确认后10个工作日内，招标人向中标人支付至合同金额</w:t>
      </w:r>
      <w:r>
        <w:rPr>
          <w:rFonts w:hint="eastAsia" w:cs="宋体" w:asciiTheme="minorEastAsia" w:hAnsiTheme="minorEastAsia"/>
          <w:szCs w:val="21"/>
          <w:lang w:val="en-US" w:eastAsia="zh-CN"/>
        </w:rPr>
        <w:t>6</w:t>
      </w:r>
      <w:r>
        <w:rPr>
          <w:rFonts w:hint="eastAsia" w:cs="宋体" w:asciiTheme="minorEastAsia" w:hAnsiTheme="minorEastAsia"/>
          <w:szCs w:val="21"/>
        </w:rPr>
        <w:t>0%；</w:t>
      </w:r>
    </w:p>
    <w:p>
      <w:pPr>
        <w:pStyle w:val="3"/>
        <w:numPr>
          <w:ilvl w:val="0"/>
          <w:numId w:val="6"/>
        </w:numPr>
        <w:tabs>
          <w:tab w:val="left" w:pos="2340"/>
          <w:tab w:val="clear" w:pos="425"/>
        </w:tabs>
        <w:autoSpaceDE/>
        <w:autoSpaceDN/>
        <w:snapToGrid w:val="0"/>
        <w:spacing w:line="360" w:lineRule="auto"/>
        <w:ind w:left="425" w:leftChars="0" w:hanging="425" w:firstLineChars="0"/>
        <w:jc w:val="both"/>
        <w:rPr>
          <w:rFonts w:asciiTheme="minorEastAsia" w:hAnsiTheme="minorEastAsia"/>
          <w:bCs/>
          <w:szCs w:val="21"/>
        </w:rPr>
      </w:pPr>
      <w:r>
        <w:rPr>
          <w:rFonts w:hint="eastAsia" w:cs="宋体" w:asciiTheme="minorEastAsia" w:hAnsiTheme="minorEastAsia"/>
          <w:szCs w:val="21"/>
        </w:rPr>
        <w:t>中标人完成服务项目，将有关资料全部移交招标人后，招标人10个工作日内向中标人支付至合同金额100%</w:t>
      </w:r>
      <w:r>
        <w:rPr>
          <w:rFonts w:hint="eastAsia" w:asciiTheme="minorEastAsia" w:hAnsiTheme="minorEastAsia"/>
          <w:bCs/>
          <w:szCs w:val="21"/>
        </w:rPr>
        <w:t>。</w:t>
      </w:r>
    </w:p>
    <w:p>
      <w:pPr>
        <w:pStyle w:val="3"/>
        <w:numPr>
          <w:ilvl w:val="0"/>
          <w:numId w:val="6"/>
        </w:numPr>
        <w:tabs>
          <w:tab w:val="left" w:pos="2340"/>
        </w:tabs>
        <w:autoSpaceDE/>
        <w:autoSpaceDN/>
        <w:snapToGrid w:val="0"/>
        <w:spacing w:line="360" w:lineRule="auto"/>
        <w:jc w:val="both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中标人凭以下有效文件与招标人结算：</w:t>
      </w:r>
    </w:p>
    <w:p>
      <w:pPr>
        <w:autoSpaceDE w:val="0"/>
        <w:autoSpaceDN w:val="0"/>
        <w:adjustRightInd w:val="0"/>
        <w:snapToGrid w:val="0"/>
        <w:spacing w:line="360" w:lineRule="auto"/>
        <w:ind w:left="425"/>
        <w:jc w:val="left"/>
        <w:rPr>
          <w:rFonts w:asciiTheme="minorEastAsia" w:hAnsiTheme="minorEastAsia" w:eastAsiaTheme="minorEastAsia"/>
          <w:kern w:val="21"/>
          <w:szCs w:val="21"/>
        </w:rPr>
      </w:pPr>
      <w:r>
        <w:rPr>
          <w:rFonts w:hint="eastAsia" w:asciiTheme="minorEastAsia" w:hAnsiTheme="minorEastAsia" w:eastAsiaTheme="minorEastAsia"/>
          <w:kern w:val="21"/>
          <w:szCs w:val="21"/>
        </w:rPr>
        <w:t>（1）合同；</w:t>
      </w:r>
    </w:p>
    <w:p>
      <w:pPr>
        <w:autoSpaceDE w:val="0"/>
        <w:autoSpaceDN w:val="0"/>
        <w:adjustRightInd w:val="0"/>
        <w:snapToGrid w:val="0"/>
        <w:spacing w:line="360" w:lineRule="auto"/>
        <w:ind w:left="425"/>
        <w:jc w:val="left"/>
        <w:rPr>
          <w:rFonts w:asciiTheme="minorEastAsia" w:hAnsiTheme="minorEastAsia" w:eastAsiaTheme="minorEastAsia"/>
          <w:kern w:val="21"/>
          <w:szCs w:val="21"/>
        </w:rPr>
      </w:pPr>
      <w:r>
        <w:rPr>
          <w:rFonts w:hint="eastAsia" w:asciiTheme="minorEastAsia" w:hAnsiTheme="minorEastAsia" w:eastAsiaTheme="minorEastAsia"/>
          <w:kern w:val="21"/>
          <w:szCs w:val="21"/>
        </w:rPr>
        <w:t>（2）中标人开具的正式发票；</w:t>
      </w:r>
    </w:p>
    <w:p>
      <w:pPr>
        <w:autoSpaceDE w:val="0"/>
        <w:autoSpaceDN w:val="0"/>
        <w:adjustRightInd w:val="0"/>
        <w:snapToGrid w:val="0"/>
        <w:spacing w:line="360" w:lineRule="auto"/>
        <w:ind w:left="425"/>
        <w:jc w:val="left"/>
        <w:rPr>
          <w:rFonts w:asciiTheme="minorEastAsia" w:hAnsiTheme="minorEastAsia" w:eastAsiaTheme="minorEastAsia"/>
          <w:kern w:val="21"/>
          <w:szCs w:val="21"/>
        </w:rPr>
      </w:pPr>
      <w:r>
        <w:rPr>
          <w:rFonts w:hint="eastAsia" w:asciiTheme="minorEastAsia" w:hAnsiTheme="minorEastAsia" w:eastAsiaTheme="minorEastAsia"/>
          <w:kern w:val="21"/>
          <w:szCs w:val="21"/>
        </w:rPr>
        <w:t>（3）中标通知书；</w:t>
      </w:r>
    </w:p>
    <w:p>
      <w:r>
        <w:rPr>
          <w:rFonts w:hint="eastAsia" w:asciiTheme="minorEastAsia" w:hAnsiTheme="minorEastAsia" w:eastAsiaTheme="minorEastAsia"/>
          <w:kern w:val="21"/>
          <w:szCs w:val="21"/>
        </w:rPr>
        <w:t>（4）招标人要求的其他相关结算资料。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996981"/>
    <w:multiLevelType w:val="multilevel"/>
    <w:tmpl w:val="05996981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5AC778E"/>
    <w:multiLevelType w:val="multilevel"/>
    <w:tmpl w:val="25AC778E"/>
    <w:lvl w:ilvl="0" w:tentative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279E1E93"/>
    <w:multiLevelType w:val="multilevel"/>
    <w:tmpl w:val="279E1E9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b w:val="0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3">
    <w:nsid w:val="6BB3070F"/>
    <w:multiLevelType w:val="multilevel"/>
    <w:tmpl w:val="6BB3070F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2046533"/>
    <w:multiLevelType w:val="multilevel"/>
    <w:tmpl w:val="72046533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4E4101A"/>
    <w:multiLevelType w:val="multilevel"/>
    <w:tmpl w:val="74E4101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539F6"/>
    <w:rsid w:val="1F2D2FA4"/>
    <w:rsid w:val="223D36D3"/>
    <w:rsid w:val="2AA4539E"/>
    <w:rsid w:val="3BC56403"/>
    <w:rsid w:val="3F1539F6"/>
    <w:rsid w:val="52E14AAD"/>
    <w:rsid w:val="56F15404"/>
    <w:rsid w:val="5BE36CC3"/>
    <w:rsid w:val="6C58775B"/>
    <w:rsid w:val="6F7163CE"/>
    <w:rsid w:val="7A7C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ascii="宋体" w:hAnsi="Courier New" w:eastAsiaTheme="minorEastAsia" w:cstheme="minorBidi"/>
    </w:rPr>
  </w:style>
  <w:style w:type="paragraph" w:customStyle="1" w:styleId="6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2021-11-01T08:13:00Z</dcterms:created>
  <dc:creator>Administrator</dc:creator>
  <cp:lastModifiedBy>大宝BH7KVG</cp:lastModifiedBy>
  <dcterms:modified xsi:type="dcterms:W3CDTF">2021-11-04T09:24:07Z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B2EBB13E69664180A5044C8397F83EEB</vt:lpwstr>
  </property>
</Properties>
</file>